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EFE2F" w14:textId="77777777" w:rsidR="008A102B" w:rsidRDefault="008A102B" w:rsidP="008A102B">
      <w:pPr>
        <w:jc w:val="center"/>
      </w:pPr>
      <w:bookmarkStart w:id="0" w:name="_CITRUS_ITALIC"/>
      <w:bookmarkStart w:id="1" w:name="_GoBack"/>
      <w:bookmarkEnd w:id="0"/>
      <w:bookmarkEnd w:id="1"/>
      <w:r>
        <w:t>UNITED STATES DISTRICT COURT</w:t>
      </w:r>
    </w:p>
    <w:p w14:paraId="0DFA30C3" w14:textId="77777777" w:rsidR="008A102B" w:rsidRDefault="008A102B" w:rsidP="008A102B">
      <w:pPr>
        <w:jc w:val="center"/>
      </w:pPr>
    </w:p>
    <w:p w14:paraId="522D5A97" w14:textId="77777777" w:rsidR="008A102B" w:rsidRDefault="008A102B" w:rsidP="008A102B">
      <w:pPr>
        <w:jc w:val="center"/>
      </w:pPr>
      <w:r>
        <w:t>DISTRICT OF MOOT</w:t>
      </w:r>
    </w:p>
    <w:p w14:paraId="30F94413" w14:textId="77777777" w:rsidR="008A102B" w:rsidRDefault="008A102B" w:rsidP="008A102B">
      <w:pPr>
        <w:pBdr>
          <w:bottom w:val="single" w:sz="12" w:space="1" w:color="auto"/>
        </w:pBdr>
      </w:pPr>
    </w:p>
    <w:p w14:paraId="65B551FC" w14:textId="77777777" w:rsidR="008A102B" w:rsidRDefault="008A102B" w:rsidP="008A102B">
      <w:r>
        <w:t>OGS TV, Inc.</w:t>
      </w:r>
    </w:p>
    <w:p w14:paraId="78171C84" w14:textId="77777777" w:rsidR="008A102B" w:rsidRDefault="008A102B" w:rsidP="008A102B"/>
    <w:p w14:paraId="29ADEA57" w14:textId="77777777" w:rsidR="008A102B" w:rsidRDefault="008A102B" w:rsidP="008A102B">
      <w:r>
        <w:tab/>
      </w:r>
      <w:r>
        <w:tab/>
      </w:r>
      <w:r>
        <w:tab/>
      </w:r>
      <w:r>
        <w:tab/>
        <w:t>Plaintiff,</w:t>
      </w:r>
    </w:p>
    <w:p w14:paraId="1003E526" w14:textId="77777777" w:rsidR="008A102B" w:rsidRDefault="008A102B" w:rsidP="008A102B">
      <w:pPr>
        <w:jc w:val="right"/>
      </w:pPr>
      <w:r>
        <w:t>Court File No. 27-CV-12-1234</w:t>
      </w:r>
    </w:p>
    <w:p w14:paraId="007A989B" w14:textId="77777777" w:rsidR="008A102B" w:rsidRDefault="008A102B" w:rsidP="008A102B">
      <w:pPr>
        <w:jc w:val="right"/>
      </w:pPr>
    </w:p>
    <w:p w14:paraId="7A3D35D1" w14:textId="77777777" w:rsidR="008A102B" w:rsidRPr="005070CF" w:rsidRDefault="008A102B" w:rsidP="00F147C3">
      <w:pPr>
        <w:ind w:left="5040" w:firstLine="270"/>
        <w:rPr>
          <w:b/>
          <w:u w:val="single"/>
        </w:rPr>
      </w:pPr>
      <w:r>
        <w:rPr>
          <w:b/>
          <w:u w:val="single"/>
        </w:rPr>
        <w:t>MEMORANDUM OF LAW IN</w:t>
      </w:r>
    </w:p>
    <w:p w14:paraId="19468605" w14:textId="77777777" w:rsidR="008A102B" w:rsidRDefault="008A102B" w:rsidP="00F147C3">
      <w:pPr>
        <w:tabs>
          <w:tab w:val="left" w:pos="5310"/>
        </w:tabs>
        <w:rPr>
          <w:b/>
          <w:u w:val="single"/>
        </w:rPr>
      </w:pPr>
      <w:proofErr w:type="gramStart"/>
      <w:r>
        <w:t>vs</w:t>
      </w:r>
      <w:proofErr w:type="gramEnd"/>
      <w:r>
        <w:t>.</w:t>
      </w:r>
      <w:r>
        <w:tab/>
      </w:r>
      <w:r>
        <w:rPr>
          <w:b/>
          <w:u w:val="single"/>
        </w:rPr>
        <w:t xml:space="preserve">OPPOSITION TO </w:t>
      </w:r>
    </w:p>
    <w:p w14:paraId="41902CD5" w14:textId="77777777" w:rsidR="008A102B" w:rsidRPr="005070CF" w:rsidRDefault="008A102B" w:rsidP="00F147C3">
      <w:pPr>
        <w:ind w:left="5310"/>
        <w:rPr>
          <w:b/>
          <w:u w:val="single"/>
        </w:rPr>
      </w:pPr>
      <w:proofErr w:type="gramStart"/>
      <w:r>
        <w:rPr>
          <w:b/>
          <w:u w:val="single"/>
        </w:rPr>
        <w:t>DEFENDANTS’ MOTION TO DISMISS UNDER F</w:t>
      </w:r>
      <w:r w:rsidR="00F147C3">
        <w:rPr>
          <w:b/>
          <w:u w:val="single"/>
        </w:rPr>
        <w:t>ED.</w:t>
      </w:r>
      <w:proofErr w:type="gramEnd"/>
      <w:r w:rsidR="00F147C3">
        <w:rPr>
          <w:b/>
          <w:u w:val="single"/>
        </w:rPr>
        <w:t xml:space="preserve"> </w:t>
      </w:r>
      <w:r>
        <w:rPr>
          <w:b/>
          <w:u w:val="single"/>
        </w:rPr>
        <w:t>R</w:t>
      </w:r>
      <w:r w:rsidR="00F147C3">
        <w:rPr>
          <w:b/>
          <w:u w:val="single"/>
        </w:rPr>
        <w:t xml:space="preserve">. </w:t>
      </w:r>
      <w:r>
        <w:rPr>
          <w:b/>
          <w:u w:val="single"/>
        </w:rPr>
        <w:t>C</w:t>
      </w:r>
      <w:r w:rsidR="00F147C3">
        <w:rPr>
          <w:b/>
          <w:u w:val="single"/>
        </w:rPr>
        <w:t xml:space="preserve">IV. </w:t>
      </w:r>
      <w:r>
        <w:rPr>
          <w:b/>
          <w:u w:val="single"/>
        </w:rPr>
        <w:t>P</w:t>
      </w:r>
      <w:r w:rsidR="00F147C3">
        <w:rPr>
          <w:b/>
          <w:u w:val="single"/>
        </w:rPr>
        <w:t>.</w:t>
      </w:r>
      <w:r>
        <w:rPr>
          <w:b/>
          <w:u w:val="single"/>
        </w:rPr>
        <w:t xml:space="preserve"> 12(b)</w:t>
      </w:r>
      <w:r w:rsidR="00F147C3">
        <w:rPr>
          <w:b/>
          <w:u w:val="single"/>
        </w:rPr>
        <w:t>(</w:t>
      </w:r>
      <w:r>
        <w:rPr>
          <w:b/>
          <w:u w:val="single"/>
        </w:rPr>
        <w:t>6</w:t>
      </w:r>
      <w:r w:rsidR="00F147C3">
        <w:rPr>
          <w:b/>
          <w:u w:val="single"/>
        </w:rPr>
        <w:t>)</w:t>
      </w:r>
      <w:r>
        <w:tab/>
      </w:r>
    </w:p>
    <w:p w14:paraId="5314B800" w14:textId="77777777" w:rsidR="008A102B" w:rsidRDefault="008A102B" w:rsidP="008A102B">
      <w:r>
        <w:t xml:space="preserve">Elizabeth Lime, and </w:t>
      </w:r>
      <w:proofErr w:type="spellStart"/>
      <w:r>
        <w:t>TinyTV</w:t>
      </w:r>
      <w:proofErr w:type="spellEnd"/>
      <w:r>
        <w:t>, Inc.</w:t>
      </w:r>
    </w:p>
    <w:p w14:paraId="5CE3C2EC" w14:textId="77777777" w:rsidR="008A102B" w:rsidRDefault="008A102B" w:rsidP="008A102B"/>
    <w:p w14:paraId="28B9B94B" w14:textId="77777777" w:rsidR="008A102B" w:rsidRDefault="008A102B" w:rsidP="008A102B">
      <w:pPr>
        <w:pBdr>
          <w:bottom w:val="single" w:sz="12" w:space="1" w:color="auto"/>
        </w:pBdr>
      </w:pPr>
      <w:r>
        <w:tab/>
      </w:r>
      <w:r>
        <w:tab/>
      </w:r>
      <w:r>
        <w:tab/>
      </w:r>
      <w:r>
        <w:tab/>
        <w:t>Defendants.</w:t>
      </w:r>
    </w:p>
    <w:p w14:paraId="780638C0" w14:textId="77777777" w:rsidR="008A102B" w:rsidRDefault="008A102B" w:rsidP="008A102B"/>
    <w:p w14:paraId="21BC1B08" w14:textId="77777777" w:rsidR="008A102B" w:rsidRDefault="008A102B" w:rsidP="008A102B">
      <w:pPr>
        <w:jc w:val="center"/>
        <w:rPr>
          <w:b/>
          <w:u w:val="single"/>
        </w:rPr>
      </w:pPr>
      <w:r>
        <w:rPr>
          <w:b/>
          <w:u w:val="single"/>
        </w:rPr>
        <w:t>INTRODUCTION</w:t>
      </w:r>
    </w:p>
    <w:p w14:paraId="4865D05B" w14:textId="77777777" w:rsidR="008A102B" w:rsidRDefault="008A102B" w:rsidP="008A102B"/>
    <w:p w14:paraId="04F713B8" w14:textId="77777777" w:rsidR="008A102B" w:rsidRDefault="008A102B" w:rsidP="008A102B">
      <w:pPr>
        <w:spacing w:line="480" w:lineRule="auto"/>
      </w:pPr>
      <w:r>
        <w:tab/>
      </w:r>
      <w:r w:rsidR="00693064">
        <w:t xml:space="preserve">The Court should deny Defendants’ motion to dismiss for failure to state a claim. For purposes of evaluating this motion, the Court is required to assume that facts as stated by Plaintiff are true. </w:t>
      </w:r>
      <w:bookmarkStart w:id="2" w:name="CITRUS_BOOKMARK46"/>
      <w:r w:rsidR="00693064" w:rsidRPr="00896B2F">
        <w:rPr>
          <w:i/>
          <w:iCs/>
        </w:rPr>
        <w:t>Conley v. Gibson</w:t>
      </w:r>
      <w:r w:rsidR="00693064" w:rsidRPr="008A102B">
        <w:rPr>
          <w:iCs/>
        </w:rPr>
        <w:t xml:space="preserve">, </w:t>
      </w:r>
      <w:r w:rsidR="00693064" w:rsidRPr="008A102B">
        <w:t>355 U.S. 41, 45-46 (1957)</w:t>
      </w:r>
      <w:bookmarkEnd w:id="2"/>
      <w:r w:rsidR="00693064" w:rsidRPr="002E511C">
        <w:t>.</w:t>
      </w:r>
      <w:r w:rsidR="00693064">
        <w:t xml:space="preserve"> Further, the US Supreme Court mandates that a pleading must contain “enough facts to state a claim for relief that is plausible on its face.” </w:t>
      </w:r>
      <w:bookmarkStart w:id="3" w:name="CITRUS_BOOKMARK47"/>
      <w:r w:rsidR="00693064" w:rsidRPr="00896B2F">
        <w:rPr>
          <w:i/>
          <w:iCs/>
        </w:rPr>
        <w:t xml:space="preserve">Bell Atl. Corp. v. </w:t>
      </w:r>
      <w:proofErr w:type="spellStart"/>
      <w:r w:rsidR="00693064" w:rsidRPr="00896B2F">
        <w:rPr>
          <w:i/>
          <w:iCs/>
        </w:rPr>
        <w:t>Twombly</w:t>
      </w:r>
      <w:proofErr w:type="spellEnd"/>
      <w:r w:rsidR="00693064" w:rsidRPr="00693064">
        <w:t>, 550 U.S. 544, 555 (2007)</w:t>
      </w:r>
      <w:bookmarkEnd w:id="3"/>
      <w:r w:rsidR="00693064" w:rsidRPr="004D7B82">
        <w:t>.</w:t>
      </w:r>
      <w:r w:rsidR="00693064">
        <w:t xml:space="preserve"> </w:t>
      </w:r>
      <w:r>
        <w:t xml:space="preserve">The </w:t>
      </w:r>
      <w:r w:rsidR="009F6462">
        <w:t>facts</w:t>
      </w:r>
      <w:r>
        <w:t>, taken in the view most favorable to Plaintiff as non-moving party in a 12(b)(6) motion to dismiss, establishes a claim upon which relief may be granted.</w:t>
      </w:r>
      <w:r>
        <w:tab/>
        <w:t xml:space="preserve">The parties’ actions satisfy the plain text requirements of </w:t>
      </w:r>
      <w:bookmarkStart w:id="4" w:name="CITRUS_BOOKMARK1"/>
      <w:r>
        <w:t>17 U.S.C. §§ 101, 201 (2006)</w:t>
      </w:r>
      <w:bookmarkEnd w:id="4"/>
      <w:r>
        <w:t xml:space="preserve">, establishing the work as made for hire. The written instrument expressly establishes the work as made for hire, and corroborates the prior oral agreement </w:t>
      </w:r>
      <w:r w:rsidR="009F6462">
        <w:t xml:space="preserve">under </w:t>
      </w:r>
      <w:r>
        <w:t>which the work was commissioned. Although the writing was signed after the work was created, the work was still originally created for Plaintiff, at the behest of the Plaintiff, and fully satisfies all requirements in the statute. Notably, the work for hire doctrine assigns the rights of author</w:t>
      </w:r>
      <w:r w:rsidR="009F6462">
        <w:t>ship</w:t>
      </w:r>
      <w:r>
        <w:t xml:space="preserve">, as distinct from a transfer of copyright, which is more customizable and less </w:t>
      </w:r>
      <w:r>
        <w:lastRenderedPageBreak/>
        <w:t xml:space="preserve">inclusive. Attempting to assert that there is a timing requirement in the statute violates the plain text, is contrary to legislative history, and </w:t>
      </w:r>
      <w:r w:rsidR="009F6462">
        <w:t xml:space="preserve">contradicts the policies of </w:t>
      </w:r>
      <w:r>
        <w:t>clarity</w:t>
      </w:r>
      <w:r w:rsidR="009F6462">
        <w:t xml:space="preserve"> and</w:t>
      </w:r>
      <w:r>
        <w:t xml:space="preserve"> predictability of owne</w:t>
      </w:r>
      <w:r w:rsidR="009F6462">
        <w:t>rship.</w:t>
      </w:r>
    </w:p>
    <w:p w14:paraId="15BC3976" w14:textId="77777777" w:rsidR="008A102B" w:rsidRDefault="008A102B" w:rsidP="008A102B">
      <w:pPr>
        <w:spacing w:line="480" w:lineRule="auto"/>
      </w:pPr>
      <w:r>
        <w:tab/>
        <w:t xml:space="preserve">As author, Plaintiff has full and exclusive copyright to the screenplay, since </w:t>
      </w:r>
      <w:bookmarkStart w:id="5" w:name="CITRUS_BOOKMARK2"/>
      <w:r>
        <w:t>17 U.S.C. § 201(b)</w:t>
      </w:r>
      <w:bookmarkEnd w:id="5"/>
      <w:r w:rsidR="00E73C32">
        <w:t xml:space="preserve"> states “[</w:t>
      </w:r>
      <w:proofErr w:type="spellStart"/>
      <w:r w:rsidR="00E73C32">
        <w:t>i</w:t>
      </w:r>
      <w:proofErr w:type="spellEnd"/>
      <w:r w:rsidR="00E73C32">
        <w:t>]</w:t>
      </w:r>
      <w:r>
        <w:t>n the case of a work made for hire, the employer or person for whom the work was prepared is considered the author for purposes of this title, and, unless the parties have expressly agreed otherwise in a written instrument signed by them, owns all of the rights comprised in the copyright.” No such document transferred any rights to any other party. Plaintiff makes a claim upon which relief can be granted. The 12(</w:t>
      </w:r>
      <w:proofErr w:type="gramStart"/>
      <w:r>
        <w:t>b)6</w:t>
      </w:r>
      <w:proofErr w:type="gramEnd"/>
      <w:r>
        <w:t xml:space="preserve"> motion should be denied.</w:t>
      </w:r>
    </w:p>
    <w:p w14:paraId="70F51F82" w14:textId="77777777" w:rsidR="008A102B" w:rsidRDefault="008A102B" w:rsidP="008A102B"/>
    <w:p w14:paraId="06C6AE8C" w14:textId="77777777" w:rsidR="008A102B" w:rsidRDefault="008A102B" w:rsidP="008A102B"/>
    <w:p w14:paraId="0F22EF21" w14:textId="77777777" w:rsidR="008A102B" w:rsidRDefault="008A102B" w:rsidP="008A102B">
      <w:pPr>
        <w:jc w:val="center"/>
        <w:rPr>
          <w:b/>
          <w:u w:val="single"/>
        </w:rPr>
      </w:pPr>
      <w:r>
        <w:rPr>
          <w:b/>
          <w:u w:val="single"/>
        </w:rPr>
        <w:t>FACTS</w:t>
      </w:r>
    </w:p>
    <w:p w14:paraId="4A3C764A" w14:textId="77777777" w:rsidR="008A102B" w:rsidRDefault="008A102B" w:rsidP="008A102B">
      <w:pPr>
        <w:jc w:val="center"/>
      </w:pPr>
    </w:p>
    <w:p w14:paraId="0C92E2A8" w14:textId="77777777" w:rsidR="00E73C32" w:rsidRDefault="008A102B" w:rsidP="008A102B">
      <w:pPr>
        <w:spacing w:line="480" w:lineRule="auto"/>
      </w:pPr>
      <w:r>
        <w:tab/>
        <w:t xml:space="preserve">Plaintiff OGS TV is the owner and copyright holder for TV series </w:t>
      </w:r>
      <w:r>
        <w:rPr>
          <w:i/>
        </w:rPr>
        <w:t>Lawless Love</w:t>
      </w:r>
      <w:r w:rsidR="00E73C32">
        <w:t xml:space="preserve"> and all its episodes up to April 2, 2010.</w:t>
      </w:r>
      <w:r>
        <w:rPr>
          <w:i/>
        </w:rPr>
        <w:t xml:space="preserve"> </w:t>
      </w:r>
      <w:proofErr w:type="spellStart"/>
      <w:r w:rsidRPr="004A4679">
        <w:t>Compl</w:t>
      </w:r>
      <w:proofErr w:type="spellEnd"/>
      <w:r w:rsidRPr="004A4679">
        <w:t>. ¶</w:t>
      </w:r>
      <w:r w:rsidR="00E73C32">
        <w:t>5-8</w:t>
      </w:r>
      <w:r w:rsidRPr="004A4679">
        <w:t>.</w:t>
      </w:r>
      <w:r>
        <w:t xml:space="preserve"> Plaintiff then contacted Defendant Lime and commissioned a screenplay for one episode of </w:t>
      </w:r>
      <w:r>
        <w:rPr>
          <w:i/>
        </w:rPr>
        <w:t>Lawless Love</w:t>
      </w:r>
      <w:r>
        <w:t>, break</w:t>
      </w:r>
      <w:r w:rsidR="00E73C32">
        <w:t>ing from the practice of using</w:t>
      </w:r>
      <w:r>
        <w:t xml:space="preserve"> Plaintiff’s employees to prepare screenplays</w:t>
      </w:r>
      <w:r w:rsidR="00E73C32">
        <w:t>.</w:t>
      </w:r>
      <w:r>
        <w:t xml:space="preserve"> </w:t>
      </w:r>
      <w:bookmarkStart w:id="6" w:name="Psych_Cite_644"/>
      <w:bookmarkStart w:id="7" w:name="Ignore_This_644"/>
      <w:proofErr w:type="gramStart"/>
      <w:r w:rsidR="00E369B0">
        <w:rPr>
          <w:i/>
        </w:rPr>
        <w:t>Id.</w:t>
      </w:r>
      <w:r w:rsidR="00E369B0">
        <w:t xml:space="preserve"> at </w:t>
      </w:r>
      <w:r w:rsidRPr="00671F6C">
        <w:t>¶</w:t>
      </w:r>
      <w:r>
        <w:t>9</w:t>
      </w:r>
      <w:bookmarkEnd w:id="6"/>
      <w:bookmarkEnd w:id="7"/>
      <w:r>
        <w:t>.</w:t>
      </w:r>
      <w:proofErr w:type="gramEnd"/>
      <w:r>
        <w:t xml:space="preserve"> Dave Nelson, Plaintiff’s agent, met with Defendant Lime on March 27, 2010 to commission a screenplay for a single episode to be completed by April 1, 2010</w:t>
      </w:r>
      <w:r w:rsidR="00E73C32">
        <w:t>.</w:t>
      </w:r>
      <w:r>
        <w:t xml:space="preserve"> </w:t>
      </w:r>
      <w:bookmarkStart w:id="8" w:name="Psych_Cite_645"/>
      <w:bookmarkStart w:id="9" w:name="Ignore_This_645"/>
      <w:proofErr w:type="gramStart"/>
      <w:r w:rsidR="00E369B0">
        <w:rPr>
          <w:i/>
        </w:rPr>
        <w:t>Id.</w:t>
      </w:r>
      <w:r w:rsidR="00E369B0">
        <w:t xml:space="preserve"> at </w:t>
      </w:r>
      <w:r w:rsidRPr="00671F6C">
        <w:t>¶</w:t>
      </w:r>
      <w:r>
        <w:t>12-</w:t>
      </w:r>
      <w:r w:rsidR="00C611FD">
        <w:t>1</w:t>
      </w:r>
      <w:r>
        <w:t>3</w:t>
      </w:r>
      <w:bookmarkEnd w:id="8"/>
      <w:bookmarkEnd w:id="9"/>
      <w:r>
        <w:t>.</w:t>
      </w:r>
      <w:proofErr w:type="gramEnd"/>
      <w:r>
        <w:t xml:space="preserve"> Both parties agreed upon payment of $6000</w:t>
      </w:r>
      <w:r w:rsidR="00E73C32">
        <w:t>.</w:t>
      </w:r>
      <w:r>
        <w:t xml:space="preserve"> </w:t>
      </w:r>
      <w:bookmarkStart w:id="10" w:name="Psych_Cite_646"/>
      <w:bookmarkStart w:id="11" w:name="Ignore_This_646"/>
      <w:proofErr w:type="gramStart"/>
      <w:r w:rsidR="00E369B0">
        <w:rPr>
          <w:i/>
        </w:rPr>
        <w:t>Id.</w:t>
      </w:r>
      <w:r w:rsidR="00E369B0">
        <w:t xml:space="preserve"> at</w:t>
      </w:r>
      <w:r w:rsidRPr="00732EAA">
        <w:t xml:space="preserve"> ¶ </w:t>
      </w:r>
      <w:r>
        <w:t>15</w:t>
      </w:r>
      <w:bookmarkEnd w:id="10"/>
      <w:bookmarkEnd w:id="11"/>
      <w:r>
        <w:t>.</w:t>
      </w:r>
      <w:proofErr w:type="gramEnd"/>
      <w:r>
        <w:t xml:space="preserve"> Dave Nelson told Defendant Lime that the work on the screenplay is for hire, and for all intents and purposes, Plaintiff will be the author, to which Defendant indicated her understanding and assent</w:t>
      </w:r>
      <w:r w:rsidR="00E73C32">
        <w:t>.</w:t>
      </w:r>
      <w:r>
        <w:t xml:space="preserve"> </w:t>
      </w:r>
      <w:bookmarkStart w:id="12" w:name="Psych_Cite_647"/>
      <w:bookmarkStart w:id="13" w:name="Ignore_This_647"/>
      <w:r w:rsidR="00E369B0">
        <w:rPr>
          <w:i/>
        </w:rPr>
        <w:t>Id.</w:t>
      </w:r>
      <w:r w:rsidR="00E369B0">
        <w:t xml:space="preserve"> at </w:t>
      </w:r>
      <w:r w:rsidRPr="00671F6C">
        <w:t>¶</w:t>
      </w:r>
      <w:r>
        <w:t xml:space="preserve"> 16-</w:t>
      </w:r>
      <w:r w:rsidR="00C611FD">
        <w:t>1</w:t>
      </w:r>
      <w:r>
        <w:t>7</w:t>
      </w:r>
      <w:bookmarkEnd w:id="12"/>
      <w:bookmarkEnd w:id="13"/>
      <w:r>
        <w:t xml:space="preserve">. </w:t>
      </w:r>
      <w:r w:rsidR="00E73C32">
        <w:t xml:space="preserve">Due to the short timeframe, </w:t>
      </w:r>
      <w:r>
        <w:t xml:space="preserve">Nelson told Defendant Lime that she should </w:t>
      </w:r>
      <w:r w:rsidR="00E369B0">
        <w:t xml:space="preserve">begin work immediately and </w:t>
      </w:r>
      <w:r>
        <w:t>could sign the paperwork later</w:t>
      </w:r>
      <w:r w:rsidR="00E73C32">
        <w:t>.</w:t>
      </w:r>
      <w:r>
        <w:t xml:space="preserve"> </w:t>
      </w:r>
      <w:bookmarkStart w:id="14" w:name="Psych_Cite_648"/>
      <w:bookmarkStart w:id="15" w:name="Ignore_This_648"/>
      <w:proofErr w:type="gramStart"/>
      <w:r w:rsidR="00E369B0">
        <w:rPr>
          <w:i/>
        </w:rPr>
        <w:t>Id.</w:t>
      </w:r>
      <w:r w:rsidR="00E369B0">
        <w:t xml:space="preserve"> at</w:t>
      </w:r>
      <w:r w:rsidRPr="00732EAA">
        <w:t xml:space="preserve"> ¶</w:t>
      </w:r>
      <w:r>
        <w:t>20</w:t>
      </w:r>
      <w:bookmarkEnd w:id="14"/>
      <w:bookmarkEnd w:id="15"/>
      <w:r w:rsidR="00C611FD">
        <w:t>.</w:t>
      </w:r>
      <w:proofErr w:type="gramEnd"/>
      <w:r w:rsidR="00C611FD">
        <w:t xml:space="preserve"> Defendant Lime submitted a</w:t>
      </w:r>
      <w:r>
        <w:t xml:space="preserve"> screenplay</w:t>
      </w:r>
      <w:r w:rsidR="00C611FD">
        <w:t xml:space="preserve"> entitled</w:t>
      </w:r>
      <w:r>
        <w:t xml:space="preserve"> “Anticipatory Repudiation” on April 1, 2010</w:t>
      </w:r>
      <w:r w:rsidR="00E73C32">
        <w:t>.</w:t>
      </w:r>
      <w:r>
        <w:t xml:space="preserve"> </w:t>
      </w:r>
      <w:bookmarkStart w:id="16" w:name="Psych_Cite_649"/>
      <w:bookmarkStart w:id="17" w:name="Ignore_This_649"/>
      <w:proofErr w:type="gramStart"/>
      <w:r w:rsidR="00E369B0">
        <w:rPr>
          <w:i/>
        </w:rPr>
        <w:t>Id.</w:t>
      </w:r>
      <w:r w:rsidR="00E369B0">
        <w:t xml:space="preserve"> at</w:t>
      </w:r>
      <w:r w:rsidRPr="00732EAA">
        <w:t xml:space="preserve"> ¶</w:t>
      </w:r>
      <w:r>
        <w:t>21</w:t>
      </w:r>
      <w:bookmarkEnd w:id="16"/>
      <w:bookmarkEnd w:id="17"/>
      <w:r>
        <w:t>.</w:t>
      </w:r>
      <w:proofErr w:type="gramEnd"/>
    </w:p>
    <w:p w14:paraId="7A0DFE7A" w14:textId="77777777" w:rsidR="008A102B" w:rsidRDefault="008A102B" w:rsidP="008A102B">
      <w:pPr>
        <w:spacing w:line="480" w:lineRule="auto"/>
      </w:pPr>
      <w:r>
        <w:lastRenderedPageBreak/>
        <w:tab/>
        <w:t>On April 6, 2010, Defendant Lime arrived at Plaintiff’s office, received her agreed-upon $6,000 payment, and signed the “Work-Made-For-Hire Agreement,” which stated “I understand and agree that I have prepared the screenplay, ‘Anticipatory Repudiation,’ as a work made for hire under the federal Copyright Act of 1976. Pursuant to this law, OGS TV is the author of this screenplay.”</w:t>
      </w:r>
      <w:r w:rsidR="00E369B0" w:rsidRPr="00E369B0">
        <w:rPr>
          <w:i/>
        </w:rPr>
        <w:t xml:space="preserve"> </w:t>
      </w:r>
      <w:bookmarkStart w:id="18" w:name="Psych_Cite_651"/>
      <w:bookmarkStart w:id="19" w:name="Ignore_This_651"/>
      <w:proofErr w:type="gramStart"/>
      <w:r w:rsidR="00E369B0">
        <w:rPr>
          <w:i/>
        </w:rPr>
        <w:t>Id.</w:t>
      </w:r>
      <w:r w:rsidR="00E369B0">
        <w:t xml:space="preserve"> at</w:t>
      </w:r>
      <w:r w:rsidRPr="00523639">
        <w:t xml:space="preserve"> ¶ </w:t>
      </w:r>
      <w:r>
        <w:t>24</w:t>
      </w:r>
      <w:bookmarkEnd w:id="18"/>
      <w:bookmarkEnd w:id="19"/>
      <w:r>
        <w:t>.</w:t>
      </w:r>
      <w:proofErr w:type="gramEnd"/>
      <w:r>
        <w:t xml:space="preserve"> The document was also signed by Plaintiff’s agent Dave Nelson on this date</w:t>
      </w:r>
      <w:r w:rsidR="00E73C32">
        <w:t>.</w:t>
      </w:r>
      <w:r w:rsidRPr="00515BED">
        <w:rPr>
          <w:color w:val="000000"/>
          <w:sz w:val="23"/>
          <w:szCs w:val="23"/>
        </w:rPr>
        <w:t xml:space="preserve"> </w:t>
      </w:r>
      <w:bookmarkStart w:id="20" w:name="Psych_Cite_652"/>
      <w:bookmarkStart w:id="21" w:name="Ignore_This_652"/>
      <w:proofErr w:type="gramStart"/>
      <w:r w:rsidR="00E369B0">
        <w:rPr>
          <w:i/>
        </w:rPr>
        <w:t>Id.</w:t>
      </w:r>
      <w:r w:rsidR="00E369B0">
        <w:t xml:space="preserve"> at</w:t>
      </w:r>
      <w:r w:rsidRPr="00515BED">
        <w:t xml:space="preserve"> ¶</w:t>
      </w:r>
      <w:r>
        <w:t>25</w:t>
      </w:r>
      <w:bookmarkEnd w:id="20"/>
      <w:bookmarkEnd w:id="21"/>
      <w:r>
        <w:t>.</w:t>
      </w:r>
      <w:proofErr w:type="gramEnd"/>
      <w:r w:rsidRPr="00515BED">
        <w:t xml:space="preserve"> </w:t>
      </w:r>
      <w:r>
        <w:t>At no point did Plaintiff waive or otherwise surrender its rights to the episode.</w:t>
      </w:r>
    </w:p>
    <w:p w14:paraId="05E8780C" w14:textId="77777777" w:rsidR="008A102B" w:rsidRDefault="008A102B" w:rsidP="00023440">
      <w:pPr>
        <w:spacing w:line="480" w:lineRule="auto"/>
        <w:rPr>
          <w:b/>
          <w:u w:val="single"/>
        </w:rPr>
      </w:pPr>
      <w:r>
        <w:tab/>
      </w:r>
      <w:r w:rsidR="00E369B0">
        <w:t>In August 2010, D</w:t>
      </w:r>
      <w:r>
        <w:t xml:space="preserve">efendants Lime and </w:t>
      </w:r>
      <w:proofErr w:type="spellStart"/>
      <w:r>
        <w:t>TinyTV</w:t>
      </w:r>
      <w:proofErr w:type="spellEnd"/>
      <w:r>
        <w:t xml:space="preserve"> created a new series entitled </w:t>
      </w:r>
      <w:r>
        <w:rPr>
          <w:i/>
        </w:rPr>
        <w:t>The Tin Can</w:t>
      </w:r>
      <w:r>
        <w:t>, copying extensively from Plaintiff’s copyrighted screenplay without knowledge or consent of the Plaintiff</w:t>
      </w:r>
      <w:r w:rsidR="00E73C32">
        <w:t>.</w:t>
      </w:r>
      <w:r w:rsidRPr="000C6837">
        <w:rPr>
          <w:color w:val="000000"/>
          <w:sz w:val="23"/>
          <w:szCs w:val="23"/>
        </w:rPr>
        <w:t xml:space="preserve"> </w:t>
      </w:r>
      <w:bookmarkStart w:id="22" w:name="Psych_Cite_656"/>
      <w:bookmarkStart w:id="23" w:name="Ignore_This_656"/>
      <w:proofErr w:type="gramStart"/>
      <w:r w:rsidR="00E369B0">
        <w:rPr>
          <w:i/>
        </w:rPr>
        <w:t>Id.</w:t>
      </w:r>
      <w:r w:rsidR="00E369B0">
        <w:t xml:space="preserve"> at</w:t>
      </w:r>
      <w:r w:rsidRPr="000C6837">
        <w:t xml:space="preserve"> ¶</w:t>
      </w:r>
      <w:r w:rsidR="00E369B0">
        <w:t>27-</w:t>
      </w:r>
      <w:r w:rsidR="00C611FD">
        <w:t>2</w:t>
      </w:r>
      <w:r>
        <w:t>8</w:t>
      </w:r>
      <w:bookmarkEnd w:id="22"/>
      <w:bookmarkEnd w:id="23"/>
      <w:r>
        <w:t>.</w:t>
      </w:r>
      <w:proofErr w:type="gramEnd"/>
      <w:r>
        <w:t xml:space="preserve"> The episode</w:t>
      </w:r>
      <w:r w:rsidR="00E369B0">
        <w:t xml:space="preserve"> was filmed and broadcast on D</w:t>
      </w:r>
      <w:r>
        <w:t xml:space="preserve">efendant </w:t>
      </w:r>
      <w:proofErr w:type="spellStart"/>
      <w:r>
        <w:t>TinyTV’s</w:t>
      </w:r>
      <w:proofErr w:type="spellEnd"/>
      <w:r>
        <w:t xml:space="preserve"> channel for the</w:t>
      </w:r>
      <w:r w:rsidR="00E369B0">
        <w:t xml:space="preserve"> sole purpose of profit to D</w:t>
      </w:r>
      <w:r>
        <w:t>efendants</w:t>
      </w:r>
      <w:r w:rsidR="00E73C32">
        <w:t>.</w:t>
      </w:r>
      <w:r>
        <w:t xml:space="preserve"> </w:t>
      </w:r>
      <w:bookmarkStart w:id="24" w:name="Psych_Cite_657"/>
      <w:bookmarkStart w:id="25" w:name="Ignore_This_657"/>
      <w:proofErr w:type="gramStart"/>
      <w:r w:rsidR="00E369B0">
        <w:rPr>
          <w:i/>
        </w:rPr>
        <w:t>Id.</w:t>
      </w:r>
      <w:r w:rsidR="00E369B0">
        <w:t xml:space="preserve"> at </w:t>
      </w:r>
      <w:r w:rsidRPr="00515BED">
        <w:t>¶</w:t>
      </w:r>
      <w:r>
        <w:t>29</w:t>
      </w:r>
      <w:bookmarkEnd w:id="24"/>
      <w:bookmarkEnd w:id="25"/>
      <w:r>
        <w:t>.</w:t>
      </w:r>
      <w:proofErr w:type="gramEnd"/>
      <w:r>
        <w:t xml:space="preserve"> Both screenplays contain identical dialogue, characters, and storylines</w:t>
      </w:r>
      <w:r w:rsidR="00E73C32">
        <w:t>.</w:t>
      </w:r>
      <w:r>
        <w:t xml:space="preserve"> </w:t>
      </w:r>
      <w:bookmarkStart w:id="26" w:name="Psych_Cite_658"/>
      <w:bookmarkStart w:id="27" w:name="Ignore_This_658"/>
      <w:proofErr w:type="gramStart"/>
      <w:r w:rsidR="00E369B0">
        <w:rPr>
          <w:i/>
        </w:rPr>
        <w:t>Id.</w:t>
      </w:r>
      <w:r w:rsidR="00E369B0">
        <w:t xml:space="preserve"> at </w:t>
      </w:r>
      <w:r w:rsidRPr="00515BED">
        <w:t>¶</w:t>
      </w:r>
      <w:r>
        <w:t>31</w:t>
      </w:r>
      <w:bookmarkEnd w:id="26"/>
      <w:bookmarkEnd w:id="27"/>
      <w:r>
        <w:t>.</w:t>
      </w:r>
      <w:proofErr w:type="gramEnd"/>
      <w:r>
        <w:t xml:space="preserve"> </w:t>
      </w:r>
    </w:p>
    <w:p w14:paraId="42522339" w14:textId="77777777" w:rsidR="008A102B" w:rsidRPr="00C17B54" w:rsidRDefault="008A102B" w:rsidP="00C17B54">
      <w:pPr>
        <w:spacing w:line="480" w:lineRule="auto"/>
        <w:jc w:val="center"/>
        <w:rPr>
          <w:b/>
          <w:i/>
        </w:rPr>
      </w:pPr>
      <w:r>
        <w:rPr>
          <w:b/>
          <w:u w:val="single"/>
        </w:rPr>
        <w:t>ARGUMENT</w:t>
      </w:r>
    </w:p>
    <w:p w14:paraId="641E2AC1" w14:textId="77777777" w:rsidR="008A102B" w:rsidRPr="00634BF3" w:rsidRDefault="00023440" w:rsidP="00C17B54">
      <w:pPr>
        <w:pStyle w:val="ListParagraph"/>
        <w:numPr>
          <w:ilvl w:val="0"/>
          <w:numId w:val="1"/>
        </w:numPr>
        <w:ind w:left="720"/>
        <w:rPr>
          <w:b/>
        </w:rPr>
      </w:pPr>
      <w:r>
        <w:rPr>
          <w:b/>
        </w:rPr>
        <w:t>BOTH PARTIES COMPLIED WITH ALL STATUTORY REQUIREMENTS TO ESTABLISH THE WORK AS MADE FOR HIRE AND PLAINTIFF AS AUTHOR</w:t>
      </w:r>
    </w:p>
    <w:p w14:paraId="745B2146" w14:textId="77777777" w:rsidR="008A102B" w:rsidRDefault="008A102B" w:rsidP="008A102B"/>
    <w:p w14:paraId="67188199" w14:textId="77777777" w:rsidR="00BF1385" w:rsidRDefault="00C17B54" w:rsidP="00BF1385">
      <w:pPr>
        <w:spacing w:line="480" w:lineRule="auto"/>
        <w:ind w:firstLine="720"/>
      </w:pPr>
      <w:r>
        <w:t>Plaintiff’s complaint contains sufficient facts to state a claim. First, facts in the complaint state that the parties intended the work to be for hire, both orally at its inception and in express writing five days after completion. Second, facts show that the parties met the statutory requirements to establish authorship. The screenplay was specially commissioned for use in the TV series, the parties expressly agreed in a written instrument that the work was for hire, Plaintiff was designated as the “author,” and copyright was therefore vested solely in Plaintiff.</w:t>
      </w:r>
    </w:p>
    <w:p w14:paraId="3230BE7F" w14:textId="77777777" w:rsidR="00BF1385" w:rsidRDefault="001743A8" w:rsidP="00BF1385">
      <w:pPr>
        <w:spacing w:line="480" w:lineRule="auto"/>
        <w:ind w:firstLine="720"/>
      </w:pPr>
      <w:r>
        <w:t>T</w:t>
      </w:r>
      <w:r w:rsidR="00BF1385">
        <w:t xml:space="preserve">he rule of lenity does not apply. </w:t>
      </w:r>
      <w:r w:rsidR="00154F73">
        <w:t xml:space="preserve">The statute asserts that any court having jurisdiction of a civil action may grant the relief requested by Plaintiffs. </w:t>
      </w:r>
      <w:bookmarkStart w:id="28" w:name="Psych_Cite_664"/>
      <w:bookmarkStart w:id="29" w:name="Ignore_This_664"/>
      <w:proofErr w:type="gramStart"/>
      <w:r w:rsidR="00BF1385">
        <w:t>17 USC § 502(a)</w:t>
      </w:r>
      <w:bookmarkEnd w:id="28"/>
      <w:bookmarkEnd w:id="29"/>
      <w:r w:rsidR="00154F73">
        <w:t>.</w:t>
      </w:r>
      <w:proofErr w:type="gramEnd"/>
      <w:r w:rsidR="00BF1385">
        <w:t xml:space="preserve"> </w:t>
      </w:r>
      <w:r w:rsidR="00154F73">
        <w:t xml:space="preserve">The rule of lenity applies to the interpretation of criminal statutes. Since this case is entirely under civil law, the rule is inapplicable. Furthermore, though the rule may expand into civil areas when the </w:t>
      </w:r>
      <w:r w:rsidR="00154F73">
        <w:lastRenderedPageBreak/>
        <w:t>interpretation applies in both criminal and civil provisions, here the criminal provisions (</w:t>
      </w:r>
      <w:r>
        <w:rPr>
          <w:i/>
        </w:rPr>
        <w:t xml:space="preserve">Id., </w:t>
      </w:r>
      <w:r w:rsidR="00154F73">
        <w:t>§</w:t>
      </w:r>
      <w:proofErr w:type="gramStart"/>
      <w:r w:rsidR="00154F73">
        <w:t>§</w:t>
      </w:r>
      <w:r>
        <w:t xml:space="preserve">  1201,1202</w:t>
      </w:r>
      <w:proofErr w:type="gramEnd"/>
      <w:r>
        <w:t>,</w:t>
      </w:r>
      <w:r w:rsidR="00154F73">
        <w:t xml:space="preserve"> 1204) share no ambiguity with the civil remedy provisions </w:t>
      </w:r>
      <w:r>
        <w:t>(</w:t>
      </w:r>
      <w:r>
        <w:rPr>
          <w:i/>
        </w:rPr>
        <w:t xml:space="preserve">Id. </w:t>
      </w:r>
      <w:r w:rsidRPr="001743A8">
        <w:t>§ 502</w:t>
      </w:r>
      <w:r w:rsidR="00154F73">
        <w:t>). In a civil case, with civil remedies, where no criminal action is even at bar, the rule of lenity is not activated.</w:t>
      </w:r>
    </w:p>
    <w:p w14:paraId="1308E7E7" w14:textId="77777777" w:rsidR="008C2AC9" w:rsidRPr="008C2AC9" w:rsidRDefault="008A102B" w:rsidP="008C2AC9">
      <w:pPr>
        <w:pStyle w:val="ListParagraph"/>
        <w:numPr>
          <w:ilvl w:val="0"/>
          <w:numId w:val="2"/>
        </w:numPr>
        <w:rPr>
          <w:b/>
          <w:i/>
        </w:rPr>
      </w:pPr>
      <w:r w:rsidRPr="0043019F">
        <w:rPr>
          <w:b/>
          <w:i/>
        </w:rPr>
        <w:t xml:space="preserve">The </w:t>
      </w:r>
      <w:r w:rsidR="00617791" w:rsidRPr="0043019F">
        <w:rPr>
          <w:b/>
          <w:i/>
        </w:rPr>
        <w:t>Signed Express Written Agreement</w:t>
      </w:r>
      <w:r w:rsidR="00023440" w:rsidRPr="0043019F">
        <w:rPr>
          <w:b/>
          <w:i/>
        </w:rPr>
        <w:t xml:space="preserve"> Met All </w:t>
      </w:r>
      <w:r w:rsidRPr="0043019F">
        <w:rPr>
          <w:b/>
          <w:i/>
        </w:rPr>
        <w:t xml:space="preserve">Plain Language </w:t>
      </w:r>
      <w:r w:rsidR="00023440" w:rsidRPr="0043019F">
        <w:rPr>
          <w:b/>
          <w:i/>
        </w:rPr>
        <w:t>Requirements of the Statute</w:t>
      </w:r>
      <w:r w:rsidR="00617791" w:rsidRPr="0043019F">
        <w:rPr>
          <w:b/>
          <w:i/>
        </w:rPr>
        <w:t xml:space="preserve"> to Establish the Screenplay as a Work For Hire</w:t>
      </w:r>
    </w:p>
    <w:p w14:paraId="57B5539F" w14:textId="77777777" w:rsidR="008C2AC9" w:rsidRDefault="008C2AC9" w:rsidP="008C2AC9">
      <w:pPr>
        <w:ind w:firstLine="720"/>
      </w:pPr>
    </w:p>
    <w:p w14:paraId="6255D845" w14:textId="77777777" w:rsidR="008A102B" w:rsidRDefault="00617791" w:rsidP="008C2AC9">
      <w:pPr>
        <w:spacing w:line="480" w:lineRule="auto"/>
        <w:ind w:firstLine="720"/>
      </w:pPr>
      <w:r>
        <w:t xml:space="preserve">In determining the meaning of a statute, the plain meaning of the text takes precedence over extrinsic material suggesting alternative meanings, unless that reading of the text leads to an absurd result. </w:t>
      </w:r>
      <w:bookmarkStart w:id="30" w:name="CITRUS_BOOKMARK49"/>
      <w:proofErr w:type="spellStart"/>
      <w:proofErr w:type="gramStart"/>
      <w:r w:rsidRPr="00896B2F">
        <w:rPr>
          <w:i/>
          <w:iCs/>
        </w:rPr>
        <w:t>Lamie</w:t>
      </w:r>
      <w:proofErr w:type="spellEnd"/>
      <w:r w:rsidRPr="00896B2F">
        <w:rPr>
          <w:i/>
          <w:iCs/>
        </w:rPr>
        <w:t xml:space="preserve"> v. U.S. Tr.</w:t>
      </w:r>
      <w:r w:rsidRPr="00C611FD">
        <w:rPr>
          <w:iCs/>
        </w:rPr>
        <w:t>, 540 U.S. 526, 534 (2004)</w:t>
      </w:r>
      <w:bookmarkEnd w:id="30"/>
      <w:r w:rsidRPr="003C3E71">
        <w:t>.</w:t>
      </w:r>
      <w:proofErr w:type="gramEnd"/>
      <w:r w:rsidR="00C611FD">
        <w:t xml:space="preserve"> A post-creation signed writing satisfies the plain meaning requirements of the act. A “work made for hire” is defined as</w:t>
      </w:r>
      <w:r w:rsidR="008A102B">
        <w:t xml:space="preserve"> </w:t>
      </w:r>
      <w:r w:rsidR="00C611FD">
        <w:t>“</w:t>
      </w:r>
      <w:r w:rsidR="008A102B">
        <w:t xml:space="preserve">a work specially ordered or commissioned for use </w:t>
      </w:r>
      <w:r w:rsidR="00C611FD">
        <w:t xml:space="preserve">… </w:t>
      </w:r>
      <w:r w:rsidR="008A102B">
        <w:t xml:space="preserve"> as a part of a motion picture or other audiovisual work… if the parties expressly agree in a written instrument signed by them that the work shall be considered a work made for hire.” </w:t>
      </w:r>
      <w:bookmarkStart w:id="31" w:name="CITRUS_BOOKMARK11"/>
      <w:proofErr w:type="gramStart"/>
      <w:r w:rsidR="008A102B" w:rsidRPr="00C611FD">
        <w:t>17 U.S.C. § 101</w:t>
      </w:r>
      <w:bookmarkEnd w:id="31"/>
      <w:r w:rsidR="008A102B">
        <w:t>.</w:t>
      </w:r>
      <w:proofErr w:type="gramEnd"/>
      <w:r w:rsidR="008A102B">
        <w:t xml:space="preserve"> Plaintiff and Defendant Lime met and discussed the commissioning of the work. </w:t>
      </w:r>
      <w:proofErr w:type="spellStart"/>
      <w:r w:rsidR="00C611FD">
        <w:t>Compl</w:t>
      </w:r>
      <w:proofErr w:type="spellEnd"/>
      <w:r w:rsidR="00C611FD">
        <w:t xml:space="preserve">. ¶12-13. </w:t>
      </w:r>
      <w:r w:rsidR="008A102B">
        <w:t>Both parties agreed orally that the work was to</w:t>
      </w:r>
      <w:r w:rsidR="0043019F">
        <w:t xml:space="preserve"> be considered “for hire” and “[f]</w:t>
      </w:r>
      <w:r w:rsidR="008A102B">
        <w:t>or all intents and purposes, we’ll [OGS TV, Inc.] be the author.”</w:t>
      </w:r>
      <w:r w:rsidR="0043019F">
        <w:t xml:space="preserve"> </w:t>
      </w:r>
      <w:bookmarkStart w:id="32" w:name="Psych_Cite_673"/>
      <w:bookmarkStart w:id="33" w:name="Ignore_This_673"/>
      <w:proofErr w:type="gramStart"/>
      <w:r w:rsidR="0043019F">
        <w:rPr>
          <w:i/>
        </w:rPr>
        <w:t>Id</w:t>
      </w:r>
      <w:r w:rsidR="0043019F">
        <w:t>. at ¶16-17</w:t>
      </w:r>
      <w:bookmarkEnd w:id="32"/>
      <w:bookmarkEnd w:id="33"/>
      <w:r w:rsidR="0043019F">
        <w:t>.</w:t>
      </w:r>
      <w:proofErr w:type="gramEnd"/>
      <w:r w:rsidR="008A102B">
        <w:t xml:space="preserve"> They also discussed and agreed upon the time frame for completion (a mere five days later), payment for the work, and other details relating to the screenplay’s use in Plaintiff’s TV show.</w:t>
      </w:r>
      <w:r w:rsidR="0043019F">
        <w:t xml:space="preserve"> </w:t>
      </w:r>
      <w:bookmarkStart w:id="34" w:name="Psych_Cite_674"/>
      <w:bookmarkStart w:id="35" w:name="Ignore_This_674"/>
      <w:proofErr w:type="gramStart"/>
      <w:r w:rsidR="0043019F">
        <w:rPr>
          <w:i/>
        </w:rPr>
        <w:t>Id.</w:t>
      </w:r>
      <w:r w:rsidR="0043019F">
        <w:t xml:space="preserve"> at ¶15</w:t>
      </w:r>
      <w:bookmarkEnd w:id="34"/>
      <w:bookmarkEnd w:id="35"/>
      <w:r w:rsidR="0043019F">
        <w:t>.</w:t>
      </w:r>
      <w:proofErr w:type="gramEnd"/>
      <w:r w:rsidR="008A102B">
        <w:t xml:space="preserve"> This meeting shows that Plaintiff specially ordered or commissioned the work for use as a contribution </w:t>
      </w:r>
      <w:r w:rsidR="0043019F">
        <w:t xml:space="preserve">to </w:t>
      </w:r>
      <w:r w:rsidR="008A102B">
        <w:t>a motion picture or other audiovisual work.</w:t>
      </w:r>
    </w:p>
    <w:p w14:paraId="1256C349" w14:textId="77777777" w:rsidR="008A102B" w:rsidRDefault="0043019F" w:rsidP="008A102B">
      <w:pPr>
        <w:spacing w:line="480" w:lineRule="auto"/>
        <w:ind w:firstLine="720"/>
      </w:pPr>
      <w:r>
        <w:t xml:space="preserve">In the March 27 meeting, </w:t>
      </w:r>
      <w:r w:rsidR="008A102B">
        <w:t>Dave Nelson told Defendant Lime that he wanted her to begin work immediately, and she responded that she wa</w:t>
      </w:r>
      <w:r>
        <w:t xml:space="preserve">nted to start writing that day. </w:t>
      </w:r>
      <w:bookmarkStart w:id="36" w:name="Psych_Cite_677"/>
      <w:bookmarkStart w:id="37" w:name="Ignore_This_677"/>
      <w:proofErr w:type="gramStart"/>
      <w:r>
        <w:rPr>
          <w:i/>
        </w:rPr>
        <w:t>Id.</w:t>
      </w:r>
      <w:r>
        <w:t xml:space="preserve"> at ¶20</w:t>
      </w:r>
      <w:bookmarkEnd w:id="36"/>
      <w:bookmarkEnd w:id="37"/>
      <w:r>
        <w:t>.</w:t>
      </w:r>
      <w:proofErr w:type="gramEnd"/>
      <w:r>
        <w:t xml:space="preserve"> Five days</w:t>
      </w:r>
      <w:r w:rsidR="008A102B">
        <w:t xml:space="preserve"> following defendant Lime’s completion of the screenplay, she returned, collected her payment, and both parties signed th</w:t>
      </w:r>
      <w:r>
        <w:t>e “Work-Made-For-Hire-Agreement.</w:t>
      </w:r>
      <w:r w:rsidR="008A102B">
        <w:t xml:space="preserve">” </w:t>
      </w:r>
      <w:bookmarkStart w:id="38" w:name="Psych_Cite_678"/>
      <w:bookmarkStart w:id="39" w:name="Ignore_This_678"/>
      <w:proofErr w:type="gramStart"/>
      <w:r>
        <w:rPr>
          <w:i/>
        </w:rPr>
        <w:t>Id.</w:t>
      </w:r>
      <w:r>
        <w:t xml:space="preserve"> at ¶24-25</w:t>
      </w:r>
      <w:bookmarkEnd w:id="38"/>
      <w:bookmarkEnd w:id="39"/>
      <w:r>
        <w:t>.</w:t>
      </w:r>
      <w:proofErr w:type="gramEnd"/>
      <w:r>
        <w:t xml:space="preserve"> </w:t>
      </w:r>
      <w:r w:rsidR="008A102B">
        <w:t>This agreement shows that the parties “expressly agree[d] in a written instrument signed by them that the work shall be considered a work made for hire.” All requirements in the statute were met.</w:t>
      </w:r>
    </w:p>
    <w:p w14:paraId="258E706F" w14:textId="77777777" w:rsidR="008A102B" w:rsidRPr="00023440" w:rsidRDefault="0015092E" w:rsidP="00023440">
      <w:pPr>
        <w:pStyle w:val="ListParagraph"/>
        <w:numPr>
          <w:ilvl w:val="0"/>
          <w:numId w:val="2"/>
        </w:numPr>
        <w:spacing w:line="480" w:lineRule="auto"/>
        <w:rPr>
          <w:b/>
          <w:i/>
        </w:rPr>
      </w:pPr>
      <w:r>
        <w:rPr>
          <w:b/>
          <w:i/>
        </w:rPr>
        <w:lastRenderedPageBreak/>
        <w:t>The Common Meaning of the Word</w:t>
      </w:r>
      <w:r w:rsidR="0043019F">
        <w:rPr>
          <w:b/>
          <w:i/>
        </w:rPr>
        <w:t xml:space="preserve"> “Shall”</w:t>
      </w:r>
      <w:r w:rsidR="008A102B" w:rsidRPr="00023440">
        <w:rPr>
          <w:b/>
          <w:i/>
        </w:rPr>
        <w:t xml:space="preserve"> </w:t>
      </w:r>
      <w:r>
        <w:rPr>
          <w:b/>
          <w:i/>
        </w:rPr>
        <w:t>Does Not Indicate a Timing Requirement</w:t>
      </w:r>
    </w:p>
    <w:p w14:paraId="647C0C8B" w14:textId="77777777" w:rsidR="008A102B" w:rsidRDefault="001039DE" w:rsidP="00023440">
      <w:pPr>
        <w:spacing w:line="480" w:lineRule="auto"/>
        <w:ind w:firstLine="720"/>
      </w:pPr>
      <w:r>
        <w:rPr>
          <w:i/>
        </w:rPr>
        <w:t xml:space="preserve">Black’s Law </w:t>
      </w:r>
      <w:r w:rsidRPr="001039DE">
        <w:rPr>
          <w:i/>
        </w:rPr>
        <w:t>Dictionary</w:t>
      </w:r>
      <w:r>
        <w:t>, 1499 (9</w:t>
      </w:r>
      <w:r w:rsidRPr="001039DE">
        <w:rPr>
          <w:vertAlign w:val="superscript"/>
        </w:rPr>
        <w:t>th</w:t>
      </w:r>
      <w:r>
        <w:t xml:space="preserve"> ed. 2009) </w:t>
      </w:r>
      <w:r w:rsidR="008A102B" w:rsidRPr="001039DE">
        <w:t>gives</w:t>
      </w:r>
      <w:r w:rsidR="008A102B">
        <w:t xml:space="preserve"> the legal definition: “1: has a duty to, more broadly, is required to. This is the mandatory sense that drafters typically intend and that courts typically uphold.” Any interpretation of shall involving a future tense, as Defendants suggest, is absent until the fourth interpretation. According to the Supreme Court, words should be attributed their “commonly understood meaning.” </w:t>
      </w:r>
      <w:bookmarkStart w:id="40" w:name="CITRUS_BOOKMARK13"/>
      <w:proofErr w:type="spellStart"/>
      <w:proofErr w:type="gramStart"/>
      <w:r w:rsidR="008A102B" w:rsidRPr="00896B2F">
        <w:rPr>
          <w:i/>
          <w:iCs/>
        </w:rPr>
        <w:t>Caminetti</w:t>
      </w:r>
      <w:proofErr w:type="spellEnd"/>
      <w:r w:rsidR="008A102B" w:rsidRPr="00896B2F">
        <w:rPr>
          <w:i/>
          <w:iCs/>
        </w:rPr>
        <w:t xml:space="preserve"> v. United States</w:t>
      </w:r>
      <w:r w:rsidR="008A102B" w:rsidRPr="00023440">
        <w:t>, 242 U.S. 470, 485 (1917)</w:t>
      </w:r>
      <w:bookmarkEnd w:id="40"/>
      <w:r w:rsidR="008A102B" w:rsidRPr="00321DA2">
        <w:t>.</w:t>
      </w:r>
      <w:proofErr w:type="gramEnd"/>
      <w:r w:rsidR="008A102B">
        <w:t xml:space="preserve"> </w:t>
      </w:r>
      <w:r w:rsidR="008A102B" w:rsidRPr="00871E3A">
        <w:t xml:space="preserve">Words carry their ordinary meaning, unless otherwise defined. </w:t>
      </w:r>
      <w:bookmarkStart w:id="41" w:name="CITRUS_BOOKMARK15"/>
      <w:proofErr w:type="gramStart"/>
      <w:r w:rsidR="008A102B" w:rsidRPr="00896B2F">
        <w:rPr>
          <w:i/>
          <w:iCs/>
        </w:rPr>
        <w:t>Am. Bankers v. Ins. Group v. United States, 408 F.3d</w:t>
      </w:r>
      <w:r w:rsidR="008A102B" w:rsidRPr="008C2AC9">
        <w:rPr>
          <w:iCs/>
        </w:rPr>
        <w:t xml:space="preserve"> 1328, 1332 (11th Cir. 2005)</w:t>
      </w:r>
      <w:bookmarkEnd w:id="41"/>
      <w:r w:rsidR="008A102B" w:rsidRPr="00871E3A">
        <w:t>.</w:t>
      </w:r>
      <w:proofErr w:type="gramEnd"/>
      <w:r w:rsidR="008A102B" w:rsidRPr="00871E3A">
        <w:t xml:space="preserve"> </w:t>
      </w:r>
      <w:r w:rsidR="0015092E">
        <w:t xml:space="preserve">The word is not defined contrary to its </w:t>
      </w:r>
      <w:r w:rsidR="00A960D2">
        <w:t xml:space="preserve">usual </w:t>
      </w:r>
      <w:r w:rsidR="0015092E">
        <w:t>mandatory sense in the statute, and nowhere else is a timing-related definition implied</w:t>
      </w:r>
      <w:r w:rsidR="00A960D2">
        <w:t xml:space="preserve">. </w:t>
      </w:r>
      <w:r w:rsidR="008A102B">
        <w:t xml:space="preserve">The definition, then, is simply a mandate that from the point of signing the written instrument the work </w:t>
      </w:r>
      <w:r w:rsidR="0015092E">
        <w:t>is to</w:t>
      </w:r>
      <w:r w:rsidR="008A102B">
        <w:t xml:space="preserve"> be considered a work made for hire. </w:t>
      </w:r>
      <w:r w:rsidR="00A960D2">
        <w:t xml:space="preserve">The word’s placement supports this point. “Shall” modifies the establishment of the work’s “for-hire” status, which prior to the signing is not considered made for hire. If “shall” </w:t>
      </w:r>
      <w:r w:rsidR="009E085F">
        <w:t>modified</w:t>
      </w:r>
      <w:r w:rsidR="00A960D2">
        <w:t xml:space="preserve"> the creation of the wor</w:t>
      </w:r>
      <w:r w:rsidR="009E085F">
        <w:t>k, rather than the completion of a signed writing, it c</w:t>
      </w:r>
      <w:r w:rsidR="00A960D2">
        <w:t xml:space="preserve">ould be more likely to carry a timing requirement. </w:t>
      </w:r>
      <w:r w:rsidR="009E085F">
        <w:t xml:space="preserve">However, the modification context, common statutory usage, and absence of a statutory definition to the contrary support the normal mandatory meaning of “shall.” Absent </w:t>
      </w:r>
      <w:r w:rsidR="00260983">
        <w:t>a</w:t>
      </w:r>
      <w:r w:rsidR="009E085F">
        <w:t xml:space="preserve"> showing of absurdity in this interpretation, as required by </w:t>
      </w:r>
      <w:proofErr w:type="spellStart"/>
      <w:r w:rsidR="009E085F" w:rsidRPr="009E085F">
        <w:rPr>
          <w:i/>
        </w:rPr>
        <w:t>Lamie</w:t>
      </w:r>
      <w:proofErr w:type="spellEnd"/>
      <w:r w:rsidR="009E085F">
        <w:t>, n</w:t>
      </w:r>
      <w:r w:rsidR="009E085F" w:rsidRPr="009E085F">
        <w:t>o</w:t>
      </w:r>
      <w:r w:rsidR="009E085F">
        <w:t xml:space="preserve"> timing</w:t>
      </w:r>
      <w:r w:rsidR="008A102B">
        <w:t xml:space="preserve"> requirement exists</w:t>
      </w:r>
      <w:r w:rsidR="009E085F">
        <w:t xml:space="preserve"> here.</w:t>
      </w:r>
      <w:r w:rsidR="008A102B">
        <w:t xml:space="preserve"> </w:t>
      </w:r>
      <w:r w:rsidR="009E085F">
        <w:t xml:space="preserve">Thus the parties met all plain meaning requirements of </w:t>
      </w:r>
      <w:bookmarkStart w:id="42" w:name="Psych_Cite_685"/>
      <w:bookmarkStart w:id="43" w:name="Ignore_This_685"/>
      <w:r w:rsidR="009E085F">
        <w:t>§ 101</w:t>
      </w:r>
      <w:bookmarkEnd w:id="42"/>
      <w:bookmarkEnd w:id="43"/>
      <w:r w:rsidR="009E085F">
        <w:t>.</w:t>
      </w:r>
    </w:p>
    <w:p w14:paraId="05FA0F82" w14:textId="77777777" w:rsidR="008A102B" w:rsidRPr="005B441B" w:rsidRDefault="008A102B" w:rsidP="008A102B">
      <w:pPr>
        <w:pStyle w:val="ListParagraph"/>
        <w:numPr>
          <w:ilvl w:val="0"/>
          <w:numId w:val="2"/>
        </w:numPr>
        <w:spacing w:line="480" w:lineRule="auto"/>
        <w:rPr>
          <w:b/>
          <w:i/>
        </w:rPr>
      </w:pPr>
      <w:r w:rsidRPr="005B441B">
        <w:rPr>
          <w:b/>
          <w:i/>
        </w:rPr>
        <w:t>Plaintiff is Author of the Screenplay, Holding All Rights Comprised in Copyright</w:t>
      </w:r>
    </w:p>
    <w:p w14:paraId="6531ADFD" w14:textId="77777777" w:rsidR="008A102B" w:rsidRPr="00260983" w:rsidRDefault="008A102B" w:rsidP="00023440">
      <w:pPr>
        <w:spacing w:line="480" w:lineRule="auto"/>
        <w:ind w:firstLine="720"/>
      </w:pPr>
      <w:r>
        <w:t>The remaining statutory requirements regarding a work made for hire are in</w:t>
      </w:r>
      <w:r w:rsidR="009E085F">
        <w:t xml:space="preserve"> </w:t>
      </w:r>
      <w:bookmarkStart w:id="44" w:name="Psych_Cite_694"/>
      <w:r w:rsidR="009E085F">
        <w:t>§ 201</w:t>
      </w:r>
      <w:bookmarkEnd w:id="44"/>
      <w:r w:rsidR="009E085F">
        <w:t>.</w:t>
      </w:r>
      <w:r w:rsidR="006C5F8B">
        <w:t xml:space="preserve"> Notably, </w:t>
      </w:r>
      <w:r>
        <w:t>“</w:t>
      </w:r>
      <w:r w:rsidRPr="004B7E12">
        <w:t xml:space="preserve">the employer or other person for whom the work was prepared is considered the author for purposes of this title, and, unless the parties have expressly agreed </w:t>
      </w:r>
      <w:proofErr w:type="gramStart"/>
      <w:r w:rsidRPr="004B7E12">
        <w:t>otherwise</w:t>
      </w:r>
      <w:r w:rsidR="006C5F8B">
        <w:t>[</w:t>
      </w:r>
      <w:proofErr w:type="gramEnd"/>
      <w:r w:rsidR="006C5F8B">
        <w:t>,]</w:t>
      </w:r>
      <w:r w:rsidRPr="004B7E12">
        <w:t xml:space="preserve"> </w:t>
      </w:r>
      <w:r w:rsidR="006C5F8B">
        <w:t>…</w:t>
      </w:r>
      <w:r w:rsidRPr="004B7E12">
        <w:t xml:space="preserve"> owns all of the r</w:t>
      </w:r>
      <w:r w:rsidR="006C5F8B">
        <w:t>ights</w:t>
      </w:r>
      <w:r w:rsidRPr="004B7E12">
        <w:t>.</w:t>
      </w:r>
      <w:r>
        <w:t>”</w:t>
      </w:r>
      <w:r w:rsidR="006C5F8B">
        <w:t xml:space="preserve"> </w:t>
      </w:r>
      <w:bookmarkStart w:id="45" w:name="Psych_Cite_691"/>
      <w:proofErr w:type="gramStart"/>
      <w:r w:rsidR="006C5F8B">
        <w:rPr>
          <w:i/>
        </w:rPr>
        <w:t>Id</w:t>
      </w:r>
      <w:r w:rsidR="006C5F8B" w:rsidRPr="006C5F8B">
        <w:t xml:space="preserve">. </w:t>
      </w:r>
      <w:r w:rsidR="006C5F8B">
        <w:t>at § 201(b)</w:t>
      </w:r>
      <w:bookmarkEnd w:id="45"/>
      <w:r w:rsidR="006C5F8B">
        <w:t>.</w:t>
      </w:r>
      <w:proofErr w:type="gramEnd"/>
      <w:r>
        <w:t xml:space="preserve"> Once more, there is no </w:t>
      </w:r>
      <w:r w:rsidR="006C5F8B">
        <w:t xml:space="preserve">mention of a required </w:t>
      </w:r>
      <w:r>
        <w:t>order of events</w:t>
      </w:r>
      <w:r w:rsidR="006C5F8B">
        <w:t xml:space="preserve"> or </w:t>
      </w:r>
      <w:r w:rsidR="006C5F8B">
        <w:lastRenderedPageBreak/>
        <w:t>timing of any kind</w:t>
      </w:r>
      <w:r>
        <w:t>.</w:t>
      </w:r>
      <w:r w:rsidR="006C5F8B">
        <w:t xml:space="preserve"> </w:t>
      </w:r>
      <w:r w:rsidR="00DC4739">
        <w:t>The</w:t>
      </w:r>
      <w:r w:rsidR="006C5F8B">
        <w:t xml:space="preserve"> absence </w:t>
      </w:r>
      <w:r w:rsidR="00DC4739">
        <w:t xml:space="preserve">here </w:t>
      </w:r>
      <w:r w:rsidR="006C5F8B">
        <w:t xml:space="preserve">supports the absence of time requirements in </w:t>
      </w:r>
      <w:bookmarkStart w:id="46" w:name="Psych_Cite_696"/>
      <w:r w:rsidR="006C5F8B">
        <w:t>§ 101</w:t>
      </w:r>
      <w:bookmarkEnd w:id="46"/>
      <w:r w:rsidR="006C5F8B">
        <w:t>.</w:t>
      </w:r>
      <w:r w:rsidR="008202F8">
        <w:t xml:space="preserve"> </w:t>
      </w:r>
      <w:r>
        <w:t>Because the screenplay was made for hire, and additionally, because the written instrument signed by Defendant Lime designated Plaintiff as the author, Plaintiff i</w:t>
      </w:r>
      <w:r w:rsidR="00260983">
        <w:t xml:space="preserve">s the author of the screenplay. All statutory requirements in </w:t>
      </w:r>
      <w:bookmarkStart w:id="47" w:name="Psych_Cite_697"/>
      <w:r w:rsidR="00260983">
        <w:t>§ 201</w:t>
      </w:r>
      <w:bookmarkEnd w:id="47"/>
      <w:r w:rsidR="00260983">
        <w:t xml:space="preserve"> designate Plaintiff as the author.</w:t>
      </w:r>
    </w:p>
    <w:p w14:paraId="3DECB2DA" w14:textId="77777777" w:rsidR="008A102B" w:rsidRPr="005B441B" w:rsidRDefault="008A102B" w:rsidP="008C2AC9">
      <w:pPr>
        <w:pStyle w:val="ListParagraph"/>
        <w:numPr>
          <w:ilvl w:val="0"/>
          <w:numId w:val="2"/>
        </w:numPr>
        <w:rPr>
          <w:b/>
          <w:i/>
        </w:rPr>
      </w:pPr>
      <w:r w:rsidRPr="005B441B">
        <w:rPr>
          <w:b/>
          <w:i/>
        </w:rPr>
        <w:t>Express Establishment of Author Status Does Not Create Redundancies When Executed After Creation</w:t>
      </w:r>
    </w:p>
    <w:p w14:paraId="3C963D45" w14:textId="77777777" w:rsidR="004714C4" w:rsidRDefault="004714C4" w:rsidP="004714C4">
      <w:pPr>
        <w:ind w:firstLine="720"/>
      </w:pPr>
    </w:p>
    <w:p w14:paraId="6AB9655E" w14:textId="77777777" w:rsidR="008A102B" w:rsidRDefault="00260983" w:rsidP="008A102B">
      <w:pPr>
        <w:spacing w:line="480" w:lineRule="auto"/>
        <w:ind w:firstLine="720"/>
      </w:pPr>
      <w:r>
        <w:t>Allowing the written agreement to be executed after creation of the work for hire will not create redundancy with transfer of ownership. Author status and ownership transfers</w:t>
      </w:r>
      <w:r w:rsidR="0015205A">
        <w:t xml:space="preserve"> are distinct in phrasing, carry substantively different rights, are executed in different processes, and are used differently in the statute. </w:t>
      </w:r>
      <w:r>
        <w:t>A common textual</w:t>
      </w:r>
      <w:r w:rsidR="008A102B">
        <w:t xml:space="preserve"> canon </w:t>
      </w:r>
      <w:r>
        <w:t xml:space="preserve">states </w:t>
      </w:r>
      <w:r w:rsidR="008A102B">
        <w:t>that different phrases in a statute a</w:t>
      </w:r>
      <w:r>
        <w:t>re not synonymous</w:t>
      </w:r>
      <w:r w:rsidR="0015205A">
        <w:t>. Many factors in the statute support this canon. First, d</w:t>
      </w:r>
      <w:r w:rsidR="008A102B">
        <w:t>esignation of authorship carries “all rights comprised in the copyright,” and is only accomplished through a signed writing designating the work as made for hire.</w:t>
      </w:r>
      <w:r w:rsidR="00DB5705">
        <w:t xml:space="preserve"> </w:t>
      </w:r>
      <w:bookmarkStart w:id="48" w:name="Psych_Cite_700"/>
      <w:proofErr w:type="gramStart"/>
      <w:r w:rsidR="00DB5705">
        <w:rPr>
          <w:i/>
        </w:rPr>
        <w:t>Id.</w:t>
      </w:r>
      <w:r w:rsidR="00DB5705">
        <w:t xml:space="preserve"> § 101</w:t>
      </w:r>
      <w:bookmarkEnd w:id="48"/>
      <w:r w:rsidR="00DB5705">
        <w:t>.</w:t>
      </w:r>
      <w:proofErr w:type="gramEnd"/>
      <w:r w:rsidR="008A102B">
        <w:t xml:space="preserve"> Comparatively, the statute describes transfer of ownership: “ownership of a copyright may be transferred in whole or in part by any means of conveyance or by operation of law.” </w:t>
      </w:r>
      <w:bookmarkStart w:id="49" w:name="Psych_Cite_701"/>
      <w:proofErr w:type="gramStart"/>
      <w:r w:rsidR="00DB5705">
        <w:rPr>
          <w:i/>
        </w:rPr>
        <w:t>Id.</w:t>
      </w:r>
      <w:r w:rsidR="00DB5705">
        <w:t xml:space="preserve"> § 101</w:t>
      </w:r>
      <w:bookmarkEnd w:id="49"/>
      <w:r w:rsidR="008A102B">
        <w:t>.</w:t>
      </w:r>
      <w:proofErr w:type="gramEnd"/>
      <w:r w:rsidR="008A102B">
        <w:t xml:space="preserve"> Unlike authorship designation, which prescribes the single specific method and carries all rights, a transfer of ownership may include only some rights and has many more methods available to meet these ends. </w:t>
      </w:r>
    </w:p>
    <w:p w14:paraId="6572B72A" w14:textId="77777777" w:rsidR="008C2AC9" w:rsidRDefault="008C2AC9" w:rsidP="00023440">
      <w:pPr>
        <w:spacing w:line="480" w:lineRule="auto"/>
        <w:ind w:firstLine="720"/>
      </w:pPr>
      <w:r>
        <w:t>Moreover</w:t>
      </w:r>
      <w:r w:rsidR="008A102B">
        <w:t>, authorship is considered distinct from ownership</w:t>
      </w:r>
      <w:r>
        <w:t xml:space="preserve"> by the statute’s use of the terms</w:t>
      </w:r>
      <w:r w:rsidR="008A102B">
        <w:t xml:space="preserve">. “The exclusive or nonexclusive grant of a </w:t>
      </w:r>
      <w:r w:rsidR="008A102B" w:rsidRPr="00B72D08">
        <w:rPr>
          <w:i/>
        </w:rPr>
        <w:t>transfer</w:t>
      </w:r>
      <w:r w:rsidR="008A102B">
        <w:t xml:space="preserve"> or license of copyright </w:t>
      </w:r>
      <w:r w:rsidR="008A102B" w:rsidRPr="00B72D08">
        <w:rPr>
          <w:i/>
        </w:rPr>
        <w:t>or of any right under a copyright</w:t>
      </w:r>
      <w:r w:rsidR="008A102B">
        <w:t xml:space="preserve">…executed by the </w:t>
      </w:r>
      <w:r w:rsidR="008A102B" w:rsidRPr="00B72D08">
        <w:rPr>
          <w:i/>
        </w:rPr>
        <w:t>author</w:t>
      </w:r>
      <w:r w:rsidR="008A102B">
        <w:t>…is subject to termination under the following conditions.” (</w:t>
      </w:r>
      <w:proofErr w:type="gramStart"/>
      <w:r w:rsidR="008A102B">
        <w:t>emphasis</w:t>
      </w:r>
      <w:proofErr w:type="gramEnd"/>
      <w:r w:rsidR="008A102B">
        <w:t xml:space="preserve"> added) </w:t>
      </w:r>
      <w:bookmarkStart w:id="50" w:name="CITRUS_BOOKMARK22"/>
      <w:r w:rsidRPr="008C2AC9">
        <w:t>17 U.S.C. § 203</w:t>
      </w:r>
      <w:bookmarkEnd w:id="50"/>
      <w:r w:rsidR="008A102B">
        <w:t xml:space="preserve">, entitled “Termination of </w:t>
      </w:r>
      <w:r w:rsidR="008A102B" w:rsidRPr="001E568F">
        <w:rPr>
          <w:i/>
        </w:rPr>
        <w:t>transfers</w:t>
      </w:r>
      <w:r w:rsidR="008A102B">
        <w:t xml:space="preserve"> and licenses granted by the </w:t>
      </w:r>
      <w:r w:rsidR="008A102B" w:rsidRPr="001E568F">
        <w:rPr>
          <w:i/>
        </w:rPr>
        <w:t>author</w:t>
      </w:r>
      <w:r w:rsidR="008A102B">
        <w:t>.” Further, after an author transfers rights in a grant, only the author is allowed to terminate the grant after 35 years;</w:t>
      </w:r>
      <w:r>
        <w:t xml:space="preserve"> the rights of the grant are then</w:t>
      </w:r>
      <w:r w:rsidR="008A102B">
        <w:t xml:space="preserve"> returned to the sole </w:t>
      </w:r>
      <w:r w:rsidR="008A102B">
        <w:lastRenderedPageBreak/>
        <w:t xml:space="preserve">control of the author. </w:t>
      </w:r>
      <w:bookmarkStart w:id="51" w:name="CITRUS_BOOKMARK23"/>
      <w:proofErr w:type="gramStart"/>
      <w:r w:rsidR="00855DB9" w:rsidRPr="00896B2F">
        <w:rPr>
          <w:i/>
        </w:rPr>
        <w:t>Id.</w:t>
      </w:r>
      <w:r w:rsidR="00855DB9" w:rsidRPr="00DC4739">
        <w:t xml:space="preserve"> § 203(a)(3)</w:t>
      </w:r>
      <w:bookmarkEnd w:id="51"/>
      <w:r w:rsidR="00DB5705">
        <w:t>.</w:t>
      </w:r>
      <w:proofErr w:type="gramEnd"/>
      <w:r w:rsidR="00DB5705">
        <w:t xml:space="preserve"> Simply because someone earns ownership of the rights through a transfer does not make that person the author.</w:t>
      </w:r>
      <w:r>
        <w:t xml:space="preserve"> </w:t>
      </w:r>
    </w:p>
    <w:p w14:paraId="7CE9B54C" w14:textId="77777777" w:rsidR="00DB5705" w:rsidRDefault="00DB5705" w:rsidP="00023440">
      <w:pPr>
        <w:spacing w:line="480" w:lineRule="auto"/>
        <w:ind w:firstLine="720"/>
      </w:pPr>
      <w:r>
        <w:t xml:space="preserve">The </w:t>
      </w:r>
      <w:r w:rsidR="008C2AC9">
        <w:t>phrasing, associated rights, execution processes, and uses</w:t>
      </w:r>
      <w:r>
        <w:t xml:space="preserve"> of designating authorship and transfer of ownership are distinct. The mere signing of the written agreement after the creation of the work made for hire will not render either </w:t>
      </w:r>
      <w:r w:rsidR="008C2AC9">
        <w:t xml:space="preserve">process </w:t>
      </w:r>
      <w:r>
        <w:t>redundant or superfluous.</w:t>
      </w:r>
    </w:p>
    <w:p w14:paraId="2CDD2C28" w14:textId="77777777" w:rsidR="008A102B" w:rsidRPr="00023440" w:rsidRDefault="008C2AC9" w:rsidP="008C2AC9">
      <w:pPr>
        <w:pStyle w:val="ListParagraph"/>
        <w:numPr>
          <w:ilvl w:val="0"/>
          <w:numId w:val="1"/>
        </w:numPr>
        <w:ind w:left="720"/>
        <w:rPr>
          <w:b/>
        </w:rPr>
      </w:pPr>
      <w:r>
        <w:rPr>
          <w:b/>
        </w:rPr>
        <w:t>THE LEGISLATIVE HISTORY AND PURPOSE OF THE STATUTE DO NOT REQUIRE THE WRITTEN INSTRUMENT TO PRECEDE CREATION OF THE WORK MADE FOR HIRE</w:t>
      </w:r>
    </w:p>
    <w:p w14:paraId="3BF3C4A3" w14:textId="77777777" w:rsidR="008C2AC9" w:rsidRDefault="008C2AC9" w:rsidP="008C2AC9">
      <w:pPr>
        <w:ind w:firstLine="720"/>
      </w:pPr>
    </w:p>
    <w:p w14:paraId="11CB6D58" w14:textId="77777777" w:rsidR="008A102B" w:rsidRDefault="008A102B" w:rsidP="00023440">
      <w:pPr>
        <w:spacing w:line="480" w:lineRule="auto"/>
        <w:ind w:firstLine="720"/>
      </w:pPr>
      <w:r>
        <w:t xml:space="preserve">The Court </w:t>
      </w:r>
      <w:r w:rsidR="005B441B">
        <w:t>does</w:t>
      </w:r>
      <w:r w:rsidR="008C2AC9">
        <w:t xml:space="preserve"> not</w:t>
      </w:r>
      <w:r w:rsidR="005B441B">
        <w:t xml:space="preserve"> need to</w:t>
      </w:r>
      <w:r>
        <w:t xml:space="preserve"> examine legislative history at all. </w:t>
      </w:r>
      <w:r w:rsidR="00885EDD">
        <w:t>Where</w:t>
      </w:r>
      <w:r w:rsidRPr="00871E3A">
        <w:t xml:space="preserve"> Congress has used clear statutory language, a court </w:t>
      </w:r>
      <w:r>
        <w:t>“</w:t>
      </w:r>
      <w:r w:rsidRPr="00871E3A">
        <w:t>need not consider extrinsic materials, such as legislative history</w:t>
      </w:r>
      <w:r>
        <w:t xml:space="preserve">.” </w:t>
      </w:r>
      <w:bookmarkStart w:id="52" w:name="CITRUS_BOOKMARK25"/>
      <w:proofErr w:type="spellStart"/>
      <w:proofErr w:type="gramStart"/>
      <w:r w:rsidR="00855DB9" w:rsidRPr="00896B2F">
        <w:rPr>
          <w:i/>
          <w:iCs/>
        </w:rPr>
        <w:t>Shotz</w:t>
      </w:r>
      <w:proofErr w:type="spellEnd"/>
      <w:r w:rsidR="00855DB9" w:rsidRPr="00896B2F">
        <w:rPr>
          <w:i/>
          <w:iCs/>
        </w:rPr>
        <w:t xml:space="preserve"> v. City of Plantation</w:t>
      </w:r>
      <w:r w:rsidR="00855DB9" w:rsidRPr="005B441B">
        <w:rPr>
          <w:iCs/>
        </w:rPr>
        <w:t>, 344 F.3d 1161, 1167 (11th Cir. 2003)</w:t>
      </w:r>
      <w:bookmarkEnd w:id="52"/>
      <w:r w:rsidRPr="00871E3A">
        <w:t>.</w:t>
      </w:r>
      <w:proofErr w:type="gramEnd"/>
      <w:r w:rsidRPr="00871E3A">
        <w:t xml:space="preserve"> </w:t>
      </w:r>
      <w:r w:rsidR="005B441B">
        <w:t>As explained above, Congress has used clear statutory language</w:t>
      </w:r>
      <w:r w:rsidR="00885EDD">
        <w:t>, and that language is devoid of a timing requirement</w:t>
      </w:r>
      <w:r w:rsidR="005B441B">
        <w:t>. I</w:t>
      </w:r>
      <w:r>
        <w:t xml:space="preserve">f the court </w:t>
      </w:r>
      <w:r w:rsidR="005B441B">
        <w:t xml:space="preserve">still </w:t>
      </w:r>
      <w:r>
        <w:t xml:space="preserve">deems that the context of the statute still does not illuminate the meaning of the statute, legislative history can </w:t>
      </w:r>
      <w:r w:rsidR="005B441B">
        <w:t>sometimes</w:t>
      </w:r>
      <w:r>
        <w:t xml:space="preserve"> be helpful. </w:t>
      </w:r>
      <w:r w:rsidR="00885EDD">
        <w:t>T</w:t>
      </w:r>
      <w:r w:rsidR="005B441B">
        <w:t>he legislative history of this act usually acts to confuse.</w:t>
      </w:r>
      <w:r w:rsidR="0013255B">
        <w:t xml:space="preserve"> Congress</w:t>
      </w:r>
      <w:r w:rsidR="005B441B">
        <w:t xml:space="preserve"> delegated the ba</w:t>
      </w:r>
      <w:r w:rsidR="0013255B">
        <w:t xml:space="preserve">rgaining, </w:t>
      </w:r>
      <w:r w:rsidR="005B441B">
        <w:t>drafting</w:t>
      </w:r>
      <w:r w:rsidR="0013255B">
        <w:t>, and compromise</w:t>
      </w:r>
      <w:r w:rsidR="005B441B">
        <w:t xml:space="preserve"> to the ex</w:t>
      </w:r>
      <w:r w:rsidR="0013255B">
        <w:t>pert interested private parties, and instead acted mainly as mediators.</w:t>
      </w:r>
      <w:r w:rsidR="005B441B">
        <w:t xml:space="preserve"> </w:t>
      </w:r>
      <w:r w:rsidR="0013255B">
        <w:t>As a result, t</w:t>
      </w:r>
      <w:r w:rsidR="005B441B">
        <w:t>he legislative history shows a lack of consensus on meaning, emphasis on accepting the words of the compromises, and the desire to serve the policies of clarity and predictability of ownership.</w:t>
      </w:r>
      <w:r w:rsidR="00885EDD">
        <w:t xml:space="preserve"> Because Congress deferred to the words of the statutes without adopting any meaning, there is no evidence that the legislature adopted any statutory meaning that imposed a timing requirement for works made for hire.</w:t>
      </w:r>
    </w:p>
    <w:p w14:paraId="442E916D" w14:textId="77777777" w:rsidR="008A102B" w:rsidRPr="008C2AC9" w:rsidRDefault="008A102B" w:rsidP="000D5D49">
      <w:pPr>
        <w:pStyle w:val="ListParagraph"/>
        <w:numPr>
          <w:ilvl w:val="0"/>
          <w:numId w:val="4"/>
        </w:numPr>
        <w:rPr>
          <w:b/>
          <w:i/>
        </w:rPr>
      </w:pPr>
      <w:r w:rsidRPr="008C2AC9">
        <w:rPr>
          <w:b/>
          <w:i/>
        </w:rPr>
        <w:t>The Legislature Did Not Agree on a Clear Meaning</w:t>
      </w:r>
      <w:r w:rsidR="000D5D49">
        <w:rPr>
          <w:b/>
          <w:i/>
        </w:rPr>
        <w:t xml:space="preserve">, But Instead </w:t>
      </w:r>
      <w:r w:rsidR="00BF1385">
        <w:rPr>
          <w:b/>
          <w:i/>
        </w:rPr>
        <w:t>Deferred</w:t>
      </w:r>
      <w:r w:rsidR="00840CD9">
        <w:rPr>
          <w:b/>
          <w:i/>
        </w:rPr>
        <w:t xml:space="preserve"> to</w:t>
      </w:r>
      <w:r w:rsidR="000D5D49">
        <w:rPr>
          <w:b/>
          <w:i/>
        </w:rPr>
        <w:t xml:space="preserve"> the Compromises and Policy Desires of the Private Negotiators Involved</w:t>
      </w:r>
    </w:p>
    <w:p w14:paraId="498DCEE0" w14:textId="77777777" w:rsidR="000D5D49" w:rsidRDefault="000D5D49" w:rsidP="000D5D49">
      <w:pPr>
        <w:ind w:firstLine="720"/>
      </w:pPr>
    </w:p>
    <w:p w14:paraId="60463DC4" w14:textId="77777777" w:rsidR="008A102B" w:rsidRDefault="008A102B" w:rsidP="008A102B">
      <w:pPr>
        <w:spacing w:line="480" w:lineRule="auto"/>
        <w:ind w:firstLine="720"/>
      </w:pPr>
      <w:r>
        <w:t>The legislative history of the 1976 Copyright Act is complicated, unclear, and compounds confusion</w:t>
      </w:r>
      <w:r w:rsidR="005B441B">
        <w:t>.</w:t>
      </w:r>
      <w:r>
        <w:t xml:space="preserve"> </w:t>
      </w:r>
      <w:bookmarkStart w:id="53" w:name="CITRUS_BOOKMARK51"/>
      <w:r w:rsidR="005B441B" w:rsidRPr="00896B2F">
        <w:rPr>
          <w:i/>
        </w:rPr>
        <w:t>See, e.g.</w:t>
      </w:r>
      <w:r w:rsidR="005B441B" w:rsidRPr="00896B2F">
        <w:t xml:space="preserve">, </w:t>
      </w:r>
      <w:r w:rsidR="005B441B" w:rsidRPr="00896B2F">
        <w:rPr>
          <w:i/>
        </w:rPr>
        <w:t>Burroughs v. Metro-Goldwyn-Mayer, Inc.</w:t>
      </w:r>
      <w:r w:rsidR="005B441B" w:rsidRPr="00CC2691">
        <w:t xml:space="preserve">, 683 F.2d 610 (2d </w:t>
      </w:r>
      <w:r w:rsidR="005B441B" w:rsidRPr="00CC2691">
        <w:lastRenderedPageBreak/>
        <w:t>Cir. 1982)</w:t>
      </w:r>
      <w:bookmarkEnd w:id="53"/>
      <w:r>
        <w:t xml:space="preserve">; </w:t>
      </w:r>
      <w:bookmarkStart w:id="54" w:name="CITRUS_BOOKMARK27"/>
      <w:r w:rsidR="00855DB9" w:rsidRPr="00896B2F">
        <w:rPr>
          <w:i/>
        </w:rPr>
        <w:t>Easter Seal Soc. for Crippled Children &amp; Adults, Inc. v. Playboy Enters.</w:t>
      </w:r>
      <w:r w:rsidR="00855DB9" w:rsidRPr="00CC2691">
        <w:t>, 815 F.2d 323 (5th Cir. 1987)</w:t>
      </w:r>
      <w:bookmarkEnd w:id="54"/>
      <w:r>
        <w:t xml:space="preserve">; Jessica D. </w:t>
      </w:r>
      <w:proofErr w:type="spellStart"/>
      <w:r>
        <w:t>Litman</w:t>
      </w:r>
      <w:proofErr w:type="spellEnd"/>
      <w:r>
        <w:t xml:space="preserve">, </w:t>
      </w:r>
      <w:r>
        <w:rPr>
          <w:i/>
        </w:rPr>
        <w:t>Copyright, Compromise, and Legislative History</w:t>
      </w:r>
      <w:r>
        <w:t>, 72 Cornell L.J. 85</w:t>
      </w:r>
      <w:r w:rsidR="005B441B">
        <w:t>7, 860</w:t>
      </w:r>
      <w:r w:rsidR="00D97702">
        <w:t xml:space="preserve"> (1987)</w:t>
      </w:r>
      <w:r>
        <w:t>. Part of this difficulty comes from the fact that Congress acted as mediators rather than actually writing the statutory language.</w:t>
      </w:r>
      <w:r w:rsidRPr="00DF09B1">
        <w:t xml:space="preserve"> </w:t>
      </w:r>
      <w:r w:rsidRPr="00BD3653">
        <w:rPr>
          <w:i/>
        </w:rPr>
        <w:t xml:space="preserve">Copyright Law Revision: Hearings </w:t>
      </w:r>
      <w:r w:rsidR="00EC5133">
        <w:rPr>
          <w:i/>
        </w:rPr>
        <w:t xml:space="preserve">on S. 1361 Before the </w:t>
      </w:r>
      <w:proofErr w:type="spellStart"/>
      <w:r w:rsidR="00EC5133">
        <w:rPr>
          <w:i/>
        </w:rPr>
        <w:t>Subcomm</w:t>
      </w:r>
      <w:proofErr w:type="spellEnd"/>
      <w:r w:rsidR="00EC5133">
        <w:rPr>
          <w:i/>
        </w:rPr>
        <w:t xml:space="preserve">. </w:t>
      </w:r>
      <w:proofErr w:type="gramStart"/>
      <w:r w:rsidR="00EC5133">
        <w:rPr>
          <w:i/>
        </w:rPr>
        <w:t>o</w:t>
      </w:r>
      <w:r w:rsidRPr="00BD3653">
        <w:rPr>
          <w:i/>
        </w:rPr>
        <w:t>n</w:t>
      </w:r>
      <w:proofErr w:type="gramEnd"/>
      <w:r w:rsidRPr="00BD3653">
        <w:rPr>
          <w:i/>
        </w:rPr>
        <w:t xml:space="preserve"> Patents, Trademarks and Copyrights of the Senate Comm. on the Judiciary</w:t>
      </w:r>
      <w:r>
        <w:t>, 93d Cong., 1</w:t>
      </w:r>
      <w:r w:rsidRPr="00BD3653">
        <w:rPr>
          <w:vertAlign w:val="superscript"/>
        </w:rPr>
        <w:t>st</w:t>
      </w:r>
      <w:r>
        <w:t xml:space="preserve"> Sess. 288., Remarks of Sen. McClellan. In fact, though legislators agreed on the language itself, they could not agree on the meaning of the language. </w:t>
      </w:r>
      <w:r>
        <w:rPr>
          <w:i/>
        </w:rPr>
        <w:t>Copyright Law Revision: Hearings on</w:t>
      </w:r>
      <w:r w:rsidR="00EC5133">
        <w:rPr>
          <w:i/>
        </w:rPr>
        <w:t xml:space="preserve"> H.R. 2223 Before the </w:t>
      </w:r>
      <w:proofErr w:type="spellStart"/>
      <w:r w:rsidR="00EC5133">
        <w:rPr>
          <w:i/>
        </w:rPr>
        <w:t>Subcomm</w:t>
      </w:r>
      <w:proofErr w:type="spellEnd"/>
      <w:r w:rsidR="00EC5133">
        <w:rPr>
          <w:i/>
        </w:rPr>
        <w:t xml:space="preserve">. </w:t>
      </w:r>
      <w:proofErr w:type="gramStart"/>
      <w:r w:rsidR="00EC5133">
        <w:rPr>
          <w:i/>
        </w:rPr>
        <w:t>o</w:t>
      </w:r>
      <w:r>
        <w:rPr>
          <w:i/>
        </w:rPr>
        <w:t>n</w:t>
      </w:r>
      <w:proofErr w:type="gramEnd"/>
      <w:r>
        <w:rPr>
          <w:i/>
        </w:rPr>
        <w:t xml:space="preserve"> Courts, Civil Liberties, and the Administration of Justice of the House Judiciary Comm.</w:t>
      </w:r>
      <w:r>
        <w:t>, 94</w:t>
      </w:r>
      <w:r w:rsidRPr="009B10B7">
        <w:rPr>
          <w:vertAlign w:val="superscript"/>
        </w:rPr>
        <w:t>th</w:t>
      </w:r>
      <w:r>
        <w:t xml:space="preserve"> Cong, 1</w:t>
      </w:r>
      <w:r w:rsidRPr="009B10B7">
        <w:rPr>
          <w:vertAlign w:val="superscript"/>
        </w:rPr>
        <w:t>st</w:t>
      </w:r>
      <w:r>
        <w:t xml:space="preserve">. Sess. 2053 at 1789-94. </w:t>
      </w:r>
      <w:r w:rsidRPr="00EC5133">
        <w:rPr>
          <w:i/>
        </w:rPr>
        <w:t>See also</w:t>
      </w:r>
      <w:r>
        <w:t xml:space="preserve"> U.S. Copyright Office, </w:t>
      </w:r>
      <w:r w:rsidRPr="00DF686D">
        <w:rPr>
          <w:i/>
        </w:rPr>
        <w:t xml:space="preserve">Second Supplementary Report of the Register of Copyrights on the </w:t>
      </w:r>
      <w:bookmarkStart w:id="55" w:name="Ignore_This_434"/>
      <w:r w:rsidRPr="00DF686D">
        <w:rPr>
          <w:i/>
        </w:rPr>
        <w:t>General Revision of the US Copyright Law: 1975</w:t>
      </w:r>
      <w:bookmarkEnd w:id="55"/>
      <w:r w:rsidRPr="00DF686D">
        <w:rPr>
          <w:i/>
        </w:rPr>
        <w:t xml:space="preserve"> Revision Bill</w:t>
      </w:r>
      <w:r>
        <w:t xml:space="preserve"> 1789-94 (1975)</w:t>
      </w:r>
      <w:r w:rsidR="00624FC3">
        <w:t xml:space="preserve"> [hereinafter </w:t>
      </w:r>
      <w:r w:rsidR="00624FC3">
        <w:rPr>
          <w:i/>
        </w:rPr>
        <w:t>Register’s Second Supplementary Report</w:t>
      </w:r>
      <w:r w:rsidR="00624FC3">
        <w:t>]</w:t>
      </w:r>
      <w:r>
        <w:t xml:space="preserve">. </w:t>
      </w:r>
    </w:p>
    <w:p w14:paraId="01BC729B" w14:textId="77777777" w:rsidR="009768BA" w:rsidRDefault="008A102B" w:rsidP="00023440">
      <w:pPr>
        <w:spacing w:line="480" w:lineRule="auto"/>
        <w:ind w:firstLine="720"/>
      </w:pPr>
      <w:r>
        <w:t xml:space="preserve">The act’s provisions were the result of compromises between the interested parties after years of non-congressional discussions. </w:t>
      </w:r>
      <w:r w:rsidRPr="00BD3653">
        <w:rPr>
          <w:i/>
        </w:rPr>
        <w:t>Copyright Law Revision: Hearings on H.R. 4347, H.R. 5680, H.R. 6831,</w:t>
      </w:r>
      <w:r w:rsidR="00EC5133">
        <w:rPr>
          <w:i/>
        </w:rPr>
        <w:t xml:space="preserve"> </w:t>
      </w:r>
      <w:proofErr w:type="gramStart"/>
      <w:r w:rsidR="00EC5133">
        <w:rPr>
          <w:i/>
        </w:rPr>
        <w:t>H.R</w:t>
      </w:r>
      <w:proofErr w:type="gramEnd"/>
      <w:r w:rsidR="00EC5133">
        <w:rPr>
          <w:i/>
        </w:rPr>
        <w:t xml:space="preserve">. 6835 Before the </w:t>
      </w:r>
      <w:proofErr w:type="spellStart"/>
      <w:r w:rsidR="00EC5133">
        <w:rPr>
          <w:i/>
        </w:rPr>
        <w:t>Subcomm</w:t>
      </w:r>
      <w:proofErr w:type="spellEnd"/>
      <w:r w:rsidR="00EC5133">
        <w:rPr>
          <w:i/>
        </w:rPr>
        <w:t xml:space="preserve">. </w:t>
      </w:r>
      <w:proofErr w:type="gramStart"/>
      <w:r w:rsidR="00EC5133">
        <w:rPr>
          <w:i/>
        </w:rPr>
        <w:t>o</w:t>
      </w:r>
      <w:r w:rsidRPr="00BD3653">
        <w:rPr>
          <w:i/>
        </w:rPr>
        <w:t>n</w:t>
      </w:r>
      <w:proofErr w:type="gramEnd"/>
      <w:r w:rsidRPr="00BD3653">
        <w:rPr>
          <w:i/>
        </w:rPr>
        <w:t xml:space="preserve"> Courts, Civil Liberties, and the Administration of Justice of the House Judiciary Comm.</w:t>
      </w:r>
      <w:r>
        <w:t>, 89</w:t>
      </w:r>
      <w:r w:rsidRPr="00BD3653">
        <w:rPr>
          <w:vertAlign w:val="superscript"/>
        </w:rPr>
        <w:t>th</w:t>
      </w:r>
      <w:r>
        <w:t xml:space="preserve"> Cong., 1</w:t>
      </w:r>
      <w:r w:rsidRPr="00BD3653">
        <w:rPr>
          <w:vertAlign w:val="superscript"/>
        </w:rPr>
        <w:t>st</w:t>
      </w:r>
      <w:r>
        <w:t xml:space="preserve"> Sess. 65 (1965). </w:t>
      </w:r>
      <w:r w:rsidR="00885EDD">
        <w:t xml:space="preserve">These interested parties included all manner of creators, purchasers, and distributors of copyrightable material. </w:t>
      </w:r>
      <w:r>
        <w:t xml:space="preserve">Rather than attempting to agree on the meaning behind the words, legislators fought to pass the statutes </w:t>
      </w:r>
      <w:r w:rsidR="00624FC3">
        <w:t xml:space="preserve">simply </w:t>
      </w:r>
      <w:r>
        <w:t xml:space="preserve">because the knowledgeable, skilled, affected parties agreed on such compromises. 122 Cong. Rec. 3821-24 (Copyright Royalty Tribunal); </w:t>
      </w:r>
      <w:r w:rsidRPr="000F59BE">
        <w:rPr>
          <w:i/>
        </w:rPr>
        <w:t>Register’s Second Supplementary Report</w:t>
      </w:r>
      <w:r>
        <w:t xml:space="preserve">, </w:t>
      </w:r>
      <w:r w:rsidRPr="000D7F9B">
        <w:t xml:space="preserve">31,979-85, </w:t>
      </w:r>
      <w:r w:rsidR="000D7F9B" w:rsidRPr="000D7F9B">
        <w:t>31,980-81, 32</w:t>
      </w:r>
      <w:r w:rsidRPr="000D7F9B">
        <w:t>,008, 3826.</w:t>
      </w:r>
      <w:r>
        <w:t xml:space="preserve"> The intent of the legislators, then, </w:t>
      </w:r>
      <w:r w:rsidR="00624FC3">
        <w:t>tells</w:t>
      </w:r>
      <w:r>
        <w:t xml:space="preserve"> little about the intended meaning of the</w:t>
      </w:r>
      <w:r w:rsidR="00624FC3">
        <w:t xml:space="preserve"> words, or their direct meaning. Instead, the </w:t>
      </w:r>
      <w:r w:rsidR="00624FC3">
        <w:lastRenderedPageBreak/>
        <w:t>legislators intended</w:t>
      </w:r>
      <w:r>
        <w:t xml:space="preserve"> to </w:t>
      </w:r>
      <w:r w:rsidR="00624FC3">
        <w:t>defer to</w:t>
      </w:r>
      <w:r>
        <w:t xml:space="preserve"> work of the affected parties. The legislators valued the </w:t>
      </w:r>
      <w:r w:rsidR="00885EDD">
        <w:t>language first, the compromises</w:t>
      </w:r>
      <w:r>
        <w:t xml:space="preserve"> second, and the </w:t>
      </w:r>
      <w:r w:rsidR="00885EDD">
        <w:t>policy purposes</w:t>
      </w:r>
      <w:r>
        <w:t xml:space="preserve"> of the affected parties third. </w:t>
      </w:r>
    </w:p>
    <w:p w14:paraId="35855516" w14:textId="77777777" w:rsidR="00904ED5" w:rsidRDefault="00624FC3" w:rsidP="00023440">
      <w:pPr>
        <w:spacing w:line="480" w:lineRule="auto"/>
        <w:ind w:firstLine="720"/>
      </w:pPr>
      <w:r>
        <w:t>Though they gained much</w:t>
      </w:r>
      <w:r w:rsidR="008E6911">
        <w:t xml:space="preserve"> information from mediators like Barbara Ringer, legislators</w:t>
      </w:r>
      <w:r>
        <w:t xml:space="preserve"> did not adopt her</w:t>
      </w:r>
      <w:r w:rsidR="00885EDD">
        <w:t xml:space="preserve"> interpretation</w:t>
      </w:r>
      <w:r>
        <w:t xml:space="preserve"> (or anyone’s interpretation) of the statute.</w:t>
      </w:r>
      <w:r w:rsidR="009768BA">
        <w:t xml:space="preserve"> </w:t>
      </w:r>
      <w:r>
        <w:t>Ringer s</w:t>
      </w:r>
      <w:r w:rsidR="008A102B">
        <w:t xml:space="preserve">erved mostly to report the actors’ progress to legislators. </w:t>
      </w:r>
      <w:r w:rsidR="009768BA">
        <w:t xml:space="preserve">As a mediator, her testimony was informative to Congress as a report on the private parties’ progress. But, she was not one of those private parties or a legislator. Congress evidenced no intent to adopt her interpretation. </w:t>
      </w:r>
      <w:r w:rsidR="00CD0F78">
        <w:t>To the contrary, t</w:t>
      </w:r>
      <w:r w:rsidR="008E6911">
        <w:t xml:space="preserve">he legislative history shows that the intent of the legislators was </w:t>
      </w:r>
      <w:r w:rsidR="009768BA">
        <w:t xml:space="preserve">first </w:t>
      </w:r>
      <w:r w:rsidR="008E6911">
        <w:t xml:space="preserve">to respect the </w:t>
      </w:r>
      <w:r w:rsidR="009768BA">
        <w:t xml:space="preserve">compromise </w:t>
      </w:r>
      <w:r w:rsidR="008E6911">
        <w:t xml:space="preserve">language, </w:t>
      </w:r>
      <w:r w:rsidR="009768BA">
        <w:t xml:space="preserve">second to </w:t>
      </w:r>
      <w:r w:rsidR="008E6911">
        <w:t xml:space="preserve">honor the compromises that produced the language (though not agreeing on its meaning), and </w:t>
      </w:r>
      <w:r w:rsidR="009768BA">
        <w:t xml:space="preserve">third </w:t>
      </w:r>
      <w:r w:rsidR="008E6911">
        <w:t xml:space="preserve">to serve the policy wishes of those negotiating parties. </w:t>
      </w:r>
      <w:r w:rsidR="00CD0F78">
        <w:t xml:space="preserve">There is no legislative intent to adopt </w:t>
      </w:r>
      <w:r w:rsidR="00904ED5">
        <w:t>any set</w:t>
      </w:r>
      <w:r w:rsidR="009768BA">
        <w:t xml:space="preserve"> interpretation</w:t>
      </w:r>
      <w:r w:rsidR="00904ED5">
        <w:t>, let alone Ringer’s,</w:t>
      </w:r>
      <w:r w:rsidR="009768BA">
        <w:t xml:space="preserve"> in any of these categories. </w:t>
      </w:r>
    </w:p>
    <w:p w14:paraId="571E1059" w14:textId="77777777" w:rsidR="008A102B" w:rsidRDefault="00904ED5" w:rsidP="00CC2691">
      <w:pPr>
        <w:spacing w:line="480" w:lineRule="auto"/>
        <w:ind w:firstLine="720"/>
      </w:pPr>
      <w:r>
        <w:t>Without evidence that the legislature intended a time requirement, interpreting the statute gives top priority to the words themselves, then to the compromises made by the negotiating parties. The purposes motivating these compromises show policy concerns that are served best by allowing the signed writing to be executed before or after creation of a work for hire.</w:t>
      </w:r>
    </w:p>
    <w:p w14:paraId="376611A1" w14:textId="77777777" w:rsidR="008A102B" w:rsidRPr="000D5D49" w:rsidRDefault="008A102B" w:rsidP="00C023AA">
      <w:pPr>
        <w:pStyle w:val="ListParagraph"/>
        <w:numPr>
          <w:ilvl w:val="0"/>
          <w:numId w:val="4"/>
        </w:numPr>
        <w:rPr>
          <w:b/>
          <w:i/>
        </w:rPr>
      </w:pPr>
      <w:r w:rsidRPr="000D5D49">
        <w:rPr>
          <w:b/>
          <w:i/>
        </w:rPr>
        <w:t>The Purposes of the Statute Are Served Best by Allowing t</w:t>
      </w:r>
      <w:r w:rsidR="00A82B01">
        <w:rPr>
          <w:b/>
          <w:i/>
        </w:rPr>
        <w:t>he Signed Writing After Creation</w:t>
      </w:r>
    </w:p>
    <w:p w14:paraId="61BF2B86" w14:textId="77777777" w:rsidR="00C023AA" w:rsidRDefault="00C023AA" w:rsidP="00C023AA">
      <w:pPr>
        <w:ind w:firstLine="720"/>
      </w:pPr>
    </w:p>
    <w:p w14:paraId="7DF58BF1" w14:textId="77777777" w:rsidR="00A82B01" w:rsidRDefault="00E821B5" w:rsidP="00A82B01">
      <w:pPr>
        <w:spacing w:line="480" w:lineRule="auto"/>
        <w:ind w:firstLine="720"/>
      </w:pPr>
      <w:r>
        <w:t xml:space="preserve">The Supreme Court </w:t>
      </w:r>
      <w:r w:rsidR="00A82B01">
        <w:t>found</w:t>
      </w:r>
      <w:r>
        <w:t xml:space="preserve"> that the main goal</w:t>
      </w:r>
      <w:r w:rsidR="00A82B01">
        <w:t>s of the act were</w:t>
      </w:r>
      <w:r>
        <w:t xml:space="preserve"> to enhance “predictability and certainty of copyright ownership</w:t>
      </w:r>
      <w:r w:rsidR="008A102B">
        <w:t>.</w:t>
      </w:r>
      <w:r>
        <w:t xml:space="preserve">” </w:t>
      </w:r>
      <w:bookmarkStart w:id="56" w:name="Psych_Cite_625"/>
      <w:proofErr w:type="gramStart"/>
      <w:r>
        <w:rPr>
          <w:i/>
        </w:rPr>
        <w:t>Community for Creative Non-Violence v. Reid</w:t>
      </w:r>
      <w:r>
        <w:t>, 490 U.S. 730, 749</w:t>
      </w:r>
      <w:bookmarkEnd w:id="56"/>
      <w:r>
        <w:t>.</w:t>
      </w:r>
      <w:proofErr w:type="gramEnd"/>
      <w:r w:rsidR="008A102B">
        <w:t xml:space="preserve"> This effort included works made for hire, the provisions of which were negotiated by representatives of authors, composers, book and music publishers, and motio</w:t>
      </w:r>
      <w:r w:rsidR="00EC5133">
        <w:t>n picture studios. House Comm. o</w:t>
      </w:r>
      <w:r w:rsidR="008A102B">
        <w:t>n the Judiciary, 87</w:t>
      </w:r>
      <w:r>
        <w:t>th</w:t>
      </w:r>
      <w:r w:rsidR="008A102B">
        <w:t xml:space="preserve"> Cong., 1</w:t>
      </w:r>
      <w:r>
        <w:t>st</w:t>
      </w:r>
      <w:r w:rsidR="008A102B">
        <w:t xml:space="preserve"> Sess., Copyright Law Revision: Report of the Register of Copyrights on the </w:t>
      </w:r>
      <w:bookmarkStart w:id="57" w:name="Ignore_This_466"/>
      <w:r w:rsidR="008A102B">
        <w:t>General Revision of the US Copyright Law, 53</w:t>
      </w:r>
      <w:bookmarkEnd w:id="57"/>
      <w:r w:rsidR="008A102B">
        <w:t xml:space="preserve">-58. Specifically, this group reworked the requirements for establishing a work as “made for hire.” </w:t>
      </w:r>
      <w:r w:rsidR="00A82B01">
        <w:t xml:space="preserve">Organizations </w:t>
      </w:r>
      <w:r w:rsidR="00A82B01">
        <w:lastRenderedPageBreak/>
        <w:t xml:space="preserve">sometimes only agreed to compromises so far as they would reduce uncertainty of rule applications. </w:t>
      </w:r>
      <w:r w:rsidR="00A82B01">
        <w:rPr>
          <w:i/>
        </w:rPr>
        <w:t xml:space="preserve">See, e.g., </w:t>
      </w:r>
      <w:r w:rsidR="00A82B01">
        <w:t>Copyright Law Revision: Hearings on</w:t>
      </w:r>
      <w:r w:rsidR="00EC5133">
        <w:t xml:space="preserve"> H.R. 2223 Before the </w:t>
      </w:r>
      <w:proofErr w:type="spellStart"/>
      <w:r w:rsidR="00EC5133">
        <w:t>Subcomm</w:t>
      </w:r>
      <w:proofErr w:type="spellEnd"/>
      <w:r w:rsidR="00EC5133">
        <w:t>. o</w:t>
      </w:r>
      <w:r w:rsidR="00A82B01">
        <w:t>n Courts, Civil Liberties, and the Administration of Justice of the House Judiciary Comm., 94th</w:t>
      </w:r>
      <w:r w:rsidR="00A82B01">
        <w:rPr>
          <w:vertAlign w:val="superscript"/>
        </w:rPr>
        <w:t xml:space="preserve"> </w:t>
      </w:r>
      <w:r w:rsidR="00A82B01">
        <w:t xml:space="preserve">Cong., 1st Sess. 2053 (1975) at 273-74, testimony of Leo </w:t>
      </w:r>
      <w:proofErr w:type="spellStart"/>
      <w:r w:rsidR="00A82B01">
        <w:t>Raskind</w:t>
      </w:r>
      <w:proofErr w:type="spellEnd"/>
      <w:r w:rsidR="00A82B01">
        <w:t xml:space="preserve">, American Council on Education; and </w:t>
      </w:r>
      <w:bookmarkStart w:id="58" w:name="CITRUS_BOOKMARK1000000052"/>
      <w:r w:rsidR="00A82B01" w:rsidRPr="00B20415">
        <w:rPr>
          <w:i/>
        </w:rPr>
        <w:t xml:space="preserve">id. </w:t>
      </w:r>
      <w:proofErr w:type="gramStart"/>
      <w:r w:rsidR="00A82B01" w:rsidRPr="00B20415">
        <w:t>at</w:t>
      </w:r>
      <w:proofErr w:type="gramEnd"/>
      <w:r w:rsidR="00A82B01" w:rsidRPr="00B20415">
        <w:t xml:space="preserve"> 295-302</w:t>
      </w:r>
      <w:bookmarkEnd w:id="58"/>
      <w:r w:rsidR="00A82B01" w:rsidRPr="00991431">
        <w:t>,</w:t>
      </w:r>
      <w:r w:rsidR="00A82B01">
        <w:t xml:space="preserve"> testimony of Harry </w:t>
      </w:r>
      <w:proofErr w:type="spellStart"/>
      <w:r w:rsidR="00A82B01">
        <w:t>Rosenfield</w:t>
      </w:r>
      <w:proofErr w:type="spellEnd"/>
      <w:r w:rsidR="00A82B01">
        <w:t xml:space="preserve">, Ad Hoc Committee of Educational </w:t>
      </w:r>
      <w:r w:rsidR="00192662">
        <w:t>Organizations and Institutions.</w:t>
      </w:r>
    </w:p>
    <w:p w14:paraId="50069BB4" w14:textId="77777777" w:rsidR="008A102B" w:rsidRDefault="00192662" w:rsidP="00192662">
      <w:pPr>
        <w:spacing w:line="480" w:lineRule="auto"/>
        <w:ind w:firstLine="720"/>
      </w:pPr>
      <w:r>
        <w:t xml:space="preserve">Allowing post-creation signed writings serves these purposes, especially when such agreements evidence an agreement from inception that the work would be made for hire. To begin, it makes the statute simple to apply. </w:t>
      </w:r>
      <w:r w:rsidR="008A102B">
        <w:t>Whereas the old statute was a web of common law rebuttabl</w:t>
      </w:r>
      <w:r>
        <w:t>e presumptions of ownership, 1976’s</w:t>
      </w:r>
      <w:r w:rsidR="008A102B">
        <w:t xml:space="preserve"> revised terms </w:t>
      </w:r>
      <w:r w:rsidR="008A73FD">
        <w:t>set forth</w:t>
      </w:r>
      <w:r w:rsidR="008A102B">
        <w:t xml:space="preserve"> a simple test for a signed writing and works in certain categories.</w:t>
      </w:r>
      <w:r w:rsidR="008A73FD">
        <w:t xml:space="preserve"> </w:t>
      </w:r>
      <w:bookmarkStart w:id="59" w:name="Psych_Cite_745"/>
      <w:r w:rsidR="008A73FD">
        <w:rPr>
          <w:i/>
        </w:rPr>
        <w:t>Compare</w:t>
      </w:r>
      <w:r w:rsidR="008A73FD">
        <w:t xml:space="preserve"> 17 U.S.C. § </w:t>
      </w:r>
      <w:r w:rsidR="00DF23A0">
        <w:t>101(2</w:t>
      </w:r>
      <w:r w:rsidR="008A73FD">
        <w:t>) (listing the categories of works made for hire)</w:t>
      </w:r>
      <w:bookmarkEnd w:id="59"/>
      <w:r w:rsidR="008A73FD">
        <w:t xml:space="preserve">, </w:t>
      </w:r>
      <w:r w:rsidR="008A73FD">
        <w:rPr>
          <w:i/>
        </w:rPr>
        <w:t>with</w:t>
      </w:r>
      <w:r w:rsidR="008A102B">
        <w:t xml:space="preserve"> </w:t>
      </w:r>
      <w:r w:rsidR="008A73FD">
        <w:t>The Copyr</w:t>
      </w:r>
      <w:r w:rsidR="00DF23A0">
        <w:t xml:space="preserve">ight Act of 1909, </w:t>
      </w:r>
      <w:bookmarkStart w:id="60" w:name="Psych_Cite_746"/>
      <w:r w:rsidR="00DF23A0">
        <w:t>17 U.S.C</w:t>
      </w:r>
      <w:bookmarkEnd w:id="60"/>
      <w:r w:rsidR="00DF23A0">
        <w:t>.</w:t>
      </w:r>
      <w:r w:rsidR="00EC5133">
        <w:t xml:space="preserve"> § 26</w:t>
      </w:r>
      <w:r w:rsidR="00DF23A0">
        <w:t xml:space="preserve"> (repealed 1976). </w:t>
      </w:r>
      <w:r w:rsidR="008A73FD">
        <w:t xml:space="preserve"> </w:t>
      </w:r>
      <w:r w:rsidR="008A102B">
        <w:t>This simplicity gives a tw</w:t>
      </w:r>
      <w:r>
        <w:t>o-pronged, on-or-off indicator for</w:t>
      </w:r>
      <w:r w:rsidR="008A102B">
        <w:t xml:space="preserve"> when a work fits the category of “made f</w:t>
      </w:r>
      <w:r>
        <w:t>or hire” and whether an express written agreement signed by both parties assigns the rights to the commissioning party</w:t>
      </w:r>
      <w:r w:rsidR="008A73FD">
        <w:t>.</w:t>
      </w:r>
      <w:r w:rsidR="008A102B">
        <w:t xml:space="preserve"> It is unnecessary to add a third prong into this test by creating a timing requirement, nowhere to be found in the statute. This would obfuscate ownership, allowing a settled intention of the parties to be invalidated merely because a document was signed a day later. </w:t>
      </w:r>
      <w:r w:rsidR="00B20415">
        <w:t>Not only is this unfair to the creator, who may be unable to get funds from the commissioner, but it is also unfair to the commissioner, who will be unable to achieve his intended go</w:t>
      </w:r>
      <w:r w:rsidR="00A82B01">
        <w:t>al with the purchased property.</w:t>
      </w:r>
    </w:p>
    <w:p w14:paraId="28902BAC" w14:textId="77777777" w:rsidR="00192662" w:rsidRDefault="00192662" w:rsidP="00192662">
      <w:pPr>
        <w:spacing w:line="480" w:lineRule="auto"/>
        <w:ind w:firstLine="720"/>
      </w:pPr>
      <w:r>
        <w:t xml:space="preserve">Secondly, agreements signed after </w:t>
      </w:r>
      <w:proofErr w:type="gramStart"/>
      <w:r>
        <w:t>creation are</w:t>
      </w:r>
      <w:proofErr w:type="gramEnd"/>
      <w:r>
        <w:t xml:space="preserve"> better applicable to a modern economy. The timing requirement is unrealistic for the modern world, where emails and phone calls can initiate projects to be completed days before </w:t>
      </w:r>
      <w:r w:rsidR="00DB728A">
        <w:t>an express agreement may be drafted and signed</w:t>
      </w:r>
      <w:r>
        <w:t xml:space="preserve">. </w:t>
      </w:r>
      <w:r>
        <w:lastRenderedPageBreak/>
        <w:t xml:space="preserve">The timing requirement increases transaction costs as well; not only would it impose a new requirement for signed writings to prove when they are signed, but also requires a timestamp of every work-for-hire project completion for validation, as well as any business related to such works. On the other hand, signings after the fact reflect </w:t>
      </w:r>
      <w:r w:rsidR="00DB728A">
        <w:t>the categories of works that may be made for hire. The writing of a script can be completed in a matter of hours. Portions of audiovisual work may be just as quick. Supplements, compilations, and instructional matters may be completed in no time at all. Allowing signature after the fact incentivizes quick transaction times. This process allows the commissioning to occur, work to start and finish, and the product to begin its use, all without forcing delays for legal representation, travel times, and scheduling notaries. Allowing a project that was considered a work-made-for-hire from its inception to speed through this process is the best route, because all actors can be certain of the allocation of copyrights, without the uncertainties, delays, and questions posed by an additional requirement.</w:t>
      </w:r>
    </w:p>
    <w:p w14:paraId="3DE832D0" w14:textId="77777777" w:rsidR="00DB728A" w:rsidRDefault="00DB728A" w:rsidP="00DB728A">
      <w:pPr>
        <w:spacing w:line="480" w:lineRule="auto"/>
      </w:pPr>
      <w:r>
        <w:tab/>
        <w:t>In short, certainty and predictability of ownership are served best by not imposing a timing requirement. Instead, satisfying the statute’s two requirements (the signed writing and the designation of work-made-for-hire) is sufficient to achieve these purposes. Case precedent suggests this is the proper interpretation when such writings evidence a prior understanding that the work was made for hire.</w:t>
      </w:r>
    </w:p>
    <w:p w14:paraId="0FF21A6D" w14:textId="77777777" w:rsidR="008A102B" w:rsidRPr="000D5D49" w:rsidRDefault="00DB728A" w:rsidP="00DB728A">
      <w:pPr>
        <w:pStyle w:val="ListParagraph"/>
        <w:numPr>
          <w:ilvl w:val="0"/>
          <w:numId w:val="1"/>
        </w:numPr>
        <w:ind w:left="720"/>
        <w:rPr>
          <w:b/>
          <w:i/>
        </w:rPr>
      </w:pPr>
      <w:r>
        <w:rPr>
          <w:b/>
        </w:rPr>
        <w:t>CASE PRECEDENT SHOWS THE PROPER RULE IS TO ALLOW POST-CREATION SIGNING WHEN EVIDENCING A PRIOR AGREEMENT THAT THE WORK IS MADE FOR HIRE</w:t>
      </w:r>
    </w:p>
    <w:p w14:paraId="55EC784D" w14:textId="77777777" w:rsidR="00DB728A" w:rsidRDefault="00DB728A" w:rsidP="00DB728A">
      <w:pPr>
        <w:ind w:firstLine="720"/>
      </w:pPr>
    </w:p>
    <w:p w14:paraId="6BCFFE5B" w14:textId="77777777" w:rsidR="00DB728A" w:rsidRDefault="00DB728A" w:rsidP="008A102B">
      <w:pPr>
        <w:spacing w:line="480" w:lineRule="auto"/>
        <w:ind w:firstLine="720"/>
      </w:pPr>
      <w:r>
        <w:t>The circuits are split on the need for a signed writing before the fact.</w:t>
      </w:r>
      <w:r w:rsidR="00D86499">
        <w:t xml:space="preserve"> </w:t>
      </w:r>
      <w:r w:rsidR="008C211F">
        <w:t xml:space="preserve">Some circuits are concerned about whether a </w:t>
      </w:r>
      <w:r w:rsidR="00664BD1">
        <w:t>long-</w:t>
      </w:r>
      <w:r w:rsidR="008C211F">
        <w:t>existing work can be deemed “for hire” after it was create</w:t>
      </w:r>
      <w:r w:rsidR="00664BD1">
        <w:t xml:space="preserve">d, and others consider how long after creation the initial rights must be vested. </w:t>
      </w:r>
      <w:r w:rsidR="008C211F">
        <w:t xml:space="preserve">Nonetheless, a rule can </w:t>
      </w:r>
      <w:r w:rsidR="001B097B">
        <w:t>be forged from the Circuits’ common ground</w:t>
      </w:r>
      <w:r w:rsidR="008C211F">
        <w:t xml:space="preserve">. It preserves their rationale, does not change the </w:t>
      </w:r>
      <w:r w:rsidR="008C211F">
        <w:lastRenderedPageBreak/>
        <w:t>case outcomes, and help</w:t>
      </w:r>
      <w:r w:rsidR="00664BD1">
        <w:t>s</w:t>
      </w:r>
      <w:r w:rsidR="008C211F">
        <w:t xml:space="preserve"> clarif</w:t>
      </w:r>
      <w:r w:rsidR="00664BD1">
        <w:t>y</w:t>
      </w:r>
      <w:r w:rsidR="008C211F">
        <w:t xml:space="preserve"> many of the philosophical and practical issues in applying the works made for hire doctrine. The</w:t>
      </w:r>
      <w:r w:rsidR="0093179D">
        <w:t xml:space="preserve"> proposed</w:t>
      </w:r>
      <w:r w:rsidR="008C211F">
        <w:t xml:space="preserve"> rule is this:</w:t>
      </w:r>
      <w:r w:rsidR="00664BD1">
        <w:t xml:space="preserve"> </w:t>
      </w:r>
      <w:r w:rsidR="001B097B">
        <w:t>agreements signed a reasonable time after the fact</w:t>
      </w:r>
      <w:r w:rsidR="00D86499">
        <w:t xml:space="preserve"> are e</w:t>
      </w:r>
      <w:r w:rsidR="00BF1385">
        <w:t>ffective in establishing</w:t>
      </w:r>
      <w:r w:rsidR="00D86499">
        <w:t xml:space="preserve"> </w:t>
      </w:r>
      <w:r w:rsidR="00BF1385">
        <w:t>“</w:t>
      </w:r>
      <w:r w:rsidR="00D86499">
        <w:t>work made for hire</w:t>
      </w:r>
      <w:r w:rsidR="00BF1385">
        <w:t>” status</w:t>
      </w:r>
      <w:r w:rsidR="00D86499">
        <w:t xml:space="preserve"> when the work was understood to be made for hire</w:t>
      </w:r>
      <w:r w:rsidR="00BF1385">
        <w:t xml:space="preserve"> by both parties</w:t>
      </w:r>
      <w:r w:rsidR="00D86499">
        <w:t xml:space="preserve"> be</w:t>
      </w:r>
      <w:r w:rsidR="00664BD1">
        <w:t xml:space="preserve">fore creation. </w:t>
      </w:r>
      <w:r w:rsidR="00D86499">
        <w:t xml:space="preserve">This </w:t>
      </w:r>
      <w:r w:rsidR="001B097B">
        <w:t xml:space="preserve">general circuit </w:t>
      </w:r>
      <w:r w:rsidR="00D86499">
        <w:t>rule is consistent with all case facts, serves the policy interests of the statute, and complies with all statutory language.</w:t>
      </w:r>
      <w:r w:rsidR="00392602">
        <w:t xml:space="preserve"> </w:t>
      </w:r>
      <w:r w:rsidR="00664BD1">
        <w:t>It is a predictable rule and simple to apply.</w:t>
      </w:r>
    </w:p>
    <w:p w14:paraId="255DE7D7" w14:textId="77777777" w:rsidR="00AC5410" w:rsidRDefault="00664BD1" w:rsidP="00AC5410">
      <w:pPr>
        <w:spacing w:line="480" w:lineRule="auto"/>
        <w:ind w:firstLine="720"/>
      </w:pPr>
      <w:r>
        <w:t xml:space="preserve">In a familiar set of facts, the First Circuit stated that writings could come after the fact. </w:t>
      </w:r>
      <w:r>
        <w:rPr>
          <w:i/>
        </w:rPr>
        <w:t>TMTV Corp. v. Mass Productions Inc.</w:t>
      </w:r>
      <w:r>
        <w:t xml:space="preserve">, C.A.1 (Puerto Rico) </w:t>
      </w:r>
      <w:bookmarkStart w:id="61" w:name="Psych_Cite_626"/>
      <w:r>
        <w:t>2011, 645 F.3d 464, 99 U.S.P.Q.2d 1032</w:t>
      </w:r>
      <w:bookmarkEnd w:id="61"/>
      <w:r>
        <w:t xml:space="preserve">. There, TV show producers hired a team of scriptwriters pursuant to work-for-hire agreements. Though the documents themselves were not signed until after creation of the product, both scriptwriters acknowledged that it was their understanding from the very beginning that their written work was the property of the producer. The court held that the writing after the fact was sufficient to </w:t>
      </w:r>
      <w:r w:rsidR="0093179D">
        <w:t xml:space="preserve">establish valid work-for-hire status. </w:t>
      </w:r>
      <w:r w:rsidR="00AC5410">
        <w:t xml:space="preserve">Though the copyright “ordinarily vests in the initial author or authors,” the work made for hire rubric means that “the original production company would be considered the author.” </w:t>
      </w:r>
      <w:bookmarkStart w:id="62" w:name="Psych_Cite_757"/>
      <w:proofErr w:type="gramStart"/>
      <w:r w:rsidR="00AC5410">
        <w:rPr>
          <w:i/>
        </w:rPr>
        <w:t xml:space="preserve">Id. </w:t>
      </w:r>
      <w:r w:rsidR="00AC5410">
        <w:t>at 469</w:t>
      </w:r>
      <w:bookmarkEnd w:id="62"/>
      <w:r w:rsidR="00AC5410">
        <w:t>.</w:t>
      </w:r>
      <w:proofErr w:type="gramEnd"/>
      <w:r w:rsidR="00AC5410">
        <w:t xml:space="preserve"> Despite initial vestment of copyright in the creators, the rights</w:t>
      </w:r>
      <w:r w:rsidR="00430C33">
        <w:t xml:space="preserve"> were</w:t>
      </w:r>
      <w:r w:rsidR="00AC5410">
        <w:t xml:space="preserve"> transfer</w:t>
      </w:r>
      <w:r w:rsidR="00430C33">
        <w:t>able</w:t>
      </w:r>
      <w:r w:rsidR="00AC5410">
        <w:t xml:space="preserve"> because the “oral understanding with the production company” </w:t>
      </w:r>
      <w:r w:rsidR="00430C33">
        <w:t xml:space="preserve">made it clear they intended to convey whatever rights they had to the commissioning party. </w:t>
      </w:r>
      <w:bookmarkStart w:id="63" w:name="Psych_Cite_758"/>
      <w:proofErr w:type="gramStart"/>
      <w:r w:rsidR="00430C33">
        <w:rPr>
          <w:i/>
        </w:rPr>
        <w:t>Id.</w:t>
      </w:r>
      <w:r w:rsidR="00430C33">
        <w:t xml:space="preserve"> at 470</w:t>
      </w:r>
      <w:bookmarkEnd w:id="63"/>
      <w:r w:rsidR="00430C33">
        <w:t>.</w:t>
      </w:r>
      <w:proofErr w:type="gramEnd"/>
      <w:r w:rsidR="00430C33">
        <w:t xml:space="preserve"> Here t</w:t>
      </w:r>
      <w:r w:rsidR="001B097B">
        <w:t>he general circuit</w:t>
      </w:r>
      <w:r w:rsidR="0093179D">
        <w:t xml:space="preserve"> rule is effective. The parties understood that the work was made for hire beforehand, both the creator and the commissioning party signed the document </w:t>
      </w:r>
      <w:r w:rsidR="001B097B">
        <w:t>reasonably soon after the work’s creation</w:t>
      </w:r>
      <w:r w:rsidR="0093179D">
        <w:t xml:space="preserve">, and </w:t>
      </w:r>
      <w:r w:rsidR="00AC5410">
        <w:t>the policies of predictability and certainty are served.</w:t>
      </w:r>
      <w:r w:rsidR="00430C33">
        <w:t xml:space="preserve"> Forcing a timing requirement would frustrate the predictability and certainty of ownership as understood by the parties themselves.</w:t>
      </w:r>
      <w:r w:rsidR="001B097B">
        <w:t xml:space="preserve"> The general circuit rule is effective.</w:t>
      </w:r>
    </w:p>
    <w:p w14:paraId="1E93E379" w14:textId="77777777" w:rsidR="00035E05" w:rsidRDefault="00AC5410" w:rsidP="00AC5410">
      <w:pPr>
        <w:spacing w:line="480" w:lineRule="auto"/>
        <w:ind w:firstLine="720"/>
      </w:pPr>
      <w:r>
        <w:lastRenderedPageBreak/>
        <w:t>Similar</w:t>
      </w:r>
      <w:r w:rsidR="00430C33">
        <w:t xml:space="preserve">ly, the </w:t>
      </w:r>
      <w:r w:rsidR="001B097B">
        <w:t>general circuit</w:t>
      </w:r>
      <w:r w:rsidR="00430C33">
        <w:t xml:space="preserve"> rule would be acceptable in the Second Circuit. There, the court disapproved of referring to an existing work as “one made for hire” years down the road. </w:t>
      </w:r>
      <w:bookmarkStart w:id="64" w:name="Psych_Cite_628"/>
      <w:r w:rsidR="00430C33">
        <w:rPr>
          <w:i/>
        </w:rPr>
        <w:t>Playboy Enters. v. Dumas</w:t>
      </w:r>
      <w:r w:rsidR="00430C33">
        <w:t>, 53 F.3d 549, 559 (1995)</w:t>
      </w:r>
      <w:bookmarkEnd w:id="64"/>
      <w:r w:rsidR="00430C33">
        <w:t>.</w:t>
      </w:r>
      <w:r w:rsidR="00035E05">
        <w:t xml:space="preserve"> Such a finding would frustrate the intent of predictability and the clarity of whether the work itself was truly made for hire. Although the court deemed it necessary for the parties to “agree before the creation of the work that it will be made for hire,” the writing requirement “can be met by a writing executed after the work is created, if the writing confirms a prior agreement, either explicit or implicit, made before the creation of the work.” </w:t>
      </w:r>
      <w:bookmarkStart w:id="65" w:name="Psych_Cite_761"/>
      <w:proofErr w:type="gramStart"/>
      <w:r w:rsidR="00035E05">
        <w:rPr>
          <w:i/>
        </w:rPr>
        <w:t xml:space="preserve">Id. </w:t>
      </w:r>
      <w:r w:rsidR="00035E05">
        <w:t>at 559</w:t>
      </w:r>
      <w:bookmarkEnd w:id="65"/>
      <w:r w:rsidR="00035E05">
        <w:t>.</w:t>
      </w:r>
      <w:proofErr w:type="gramEnd"/>
      <w:r w:rsidR="00035E05">
        <w:t xml:space="preserve"> In fact, the </w:t>
      </w:r>
      <w:r w:rsidR="00EC5133">
        <w:t>court states</w:t>
      </w:r>
      <w:r w:rsidR="00035E05">
        <w:t xml:space="preserve"> that a bright line rule for prior signing “could frustrate the intent of the parties, and cloud rather than serve the goal of certainty.” </w:t>
      </w:r>
      <w:bookmarkStart w:id="66" w:name="Psych_Cite_762"/>
      <w:proofErr w:type="gramStart"/>
      <w:r w:rsidR="00035E05">
        <w:rPr>
          <w:i/>
        </w:rPr>
        <w:t xml:space="preserve">Id. </w:t>
      </w:r>
      <w:r w:rsidR="00035E05">
        <w:t>at 559</w:t>
      </w:r>
      <w:bookmarkEnd w:id="66"/>
      <w:r w:rsidR="00035E05">
        <w:t>.</w:t>
      </w:r>
      <w:proofErr w:type="gramEnd"/>
      <w:r w:rsidR="00035E05">
        <w:t xml:space="preserve"> Just as in the </w:t>
      </w:r>
      <w:r w:rsidR="001B097B">
        <w:t>general circuit</w:t>
      </w:r>
      <w:r w:rsidR="00035E05">
        <w:t xml:space="preserve"> rule, the understanding that the work will be made for hire is sufficient, as long as there is a signing which does not occur years later. </w:t>
      </w:r>
      <w:r w:rsidR="001B097B">
        <w:t>Such an unreasonable period frustrates the policy purposes of the statute.</w:t>
      </w:r>
    </w:p>
    <w:p w14:paraId="2A8A4D8F" w14:textId="77777777" w:rsidR="00035E05" w:rsidRDefault="00035E05" w:rsidP="00AC5410">
      <w:pPr>
        <w:spacing w:line="480" w:lineRule="auto"/>
        <w:ind w:firstLine="720"/>
      </w:pPr>
      <w:r>
        <w:t xml:space="preserve">The Ninth Circuit agrees with the Second Circuit’s concerns. Where a citizen created a work and obtained copyright protection for it, </w:t>
      </w:r>
      <w:r w:rsidR="00864017">
        <w:t>before entering any</w:t>
      </w:r>
      <w:r>
        <w:t xml:space="preserve"> relationship with the county, it is inappropriate to </w:t>
      </w:r>
      <w:r w:rsidR="00864017">
        <w:t xml:space="preserve">remove his author status. </w:t>
      </w:r>
      <w:bookmarkStart w:id="67" w:name="Psych_Cite_629"/>
      <w:proofErr w:type="spellStart"/>
      <w:proofErr w:type="gramStart"/>
      <w:r w:rsidR="00864017">
        <w:rPr>
          <w:i/>
        </w:rPr>
        <w:t>Gladwell</w:t>
      </w:r>
      <w:proofErr w:type="spellEnd"/>
      <w:r w:rsidR="00864017">
        <w:rPr>
          <w:i/>
        </w:rPr>
        <w:t xml:space="preserve"> Gov’t Services, Inc. v. County of Marin</w:t>
      </w:r>
      <w:r w:rsidR="00864017">
        <w:t xml:space="preserve">, 265 F. </w:t>
      </w:r>
      <w:proofErr w:type="spellStart"/>
      <w:r w:rsidR="00864017">
        <w:t>App’x</w:t>
      </w:r>
      <w:proofErr w:type="spellEnd"/>
      <w:r w:rsidR="00864017">
        <w:t xml:space="preserve"> 624, 626 (2008)</w:t>
      </w:r>
      <w:bookmarkEnd w:id="67"/>
      <w:r w:rsidR="00864017">
        <w:t>.</w:t>
      </w:r>
      <w:proofErr w:type="gramEnd"/>
      <w:r w:rsidR="00864017">
        <w:t xml:space="preserve"> </w:t>
      </w:r>
      <w:r w:rsidR="001B097B">
        <w:t>Marin</w:t>
      </w:r>
      <w:r w:rsidR="00864017">
        <w:t xml:space="preserve"> </w:t>
      </w:r>
      <w:proofErr w:type="gramStart"/>
      <w:r w:rsidR="008C593A">
        <w:t>county</w:t>
      </w:r>
      <w:proofErr w:type="gramEnd"/>
      <w:r w:rsidR="00864017">
        <w:t xml:space="preserve"> would have acted as the commissioner in this case</w:t>
      </w:r>
      <w:r w:rsidR="001B097B">
        <w:t>, but</w:t>
      </w:r>
      <w:r w:rsidR="00864017">
        <w:t xml:space="preserve"> had no relationship with </w:t>
      </w:r>
      <w:proofErr w:type="spellStart"/>
      <w:r w:rsidR="00864017">
        <w:t>Gla</w:t>
      </w:r>
      <w:r w:rsidR="001B097B">
        <w:t>dwell</w:t>
      </w:r>
      <w:proofErr w:type="spellEnd"/>
      <w:r w:rsidR="001B097B">
        <w:t xml:space="preserve"> when the work was created.</w:t>
      </w:r>
      <w:r w:rsidR="00864017">
        <w:t xml:space="preserve"> </w:t>
      </w:r>
      <w:r w:rsidR="001B097B">
        <w:t xml:space="preserve">The general circuit rule, applied here, shows that without a prior agreement that the work was for hire, </w:t>
      </w:r>
      <w:r w:rsidR="00864017">
        <w:t>“</w:t>
      </w:r>
      <w:r w:rsidR="001B097B">
        <w:t>A</w:t>
      </w:r>
      <w:r w:rsidR="00864017">
        <w:t xml:space="preserve"> work-for-hire agreement cannot apply to works that are already in existence.” </w:t>
      </w:r>
      <w:bookmarkStart w:id="68" w:name="Psych_Cite_763"/>
      <w:proofErr w:type="gramStart"/>
      <w:r w:rsidR="00864017">
        <w:rPr>
          <w:i/>
        </w:rPr>
        <w:t xml:space="preserve">Id. </w:t>
      </w:r>
      <w:r w:rsidR="00864017">
        <w:t>at 626</w:t>
      </w:r>
      <w:bookmarkEnd w:id="68"/>
      <w:r w:rsidR="00864017">
        <w:t>.</w:t>
      </w:r>
      <w:proofErr w:type="gramEnd"/>
      <w:r w:rsidR="00864017">
        <w:t xml:space="preserve"> Though the court says that works specially ordered or commissioned can only be made after the execution of an express agreement between the parties</w:t>
      </w:r>
      <w:r w:rsidR="001B097B">
        <w:t>, this does not run afoul of the general circuit</w:t>
      </w:r>
      <w:r w:rsidR="00864017">
        <w:t xml:space="preserve"> rule. </w:t>
      </w:r>
      <w:r w:rsidR="008C593A">
        <w:t>Since this case was a decision on surviving a motion to dismiss, the dicta regarding t</w:t>
      </w:r>
      <w:r w:rsidR="00B16266">
        <w:t xml:space="preserve">he timing requirement should </w:t>
      </w:r>
      <w:r w:rsidR="001B097B">
        <w:t>not be overvalued.</w:t>
      </w:r>
      <w:r w:rsidR="00B16266">
        <w:t xml:space="preserve"> </w:t>
      </w:r>
      <w:r w:rsidR="001B097B">
        <w:t>T</w:t>
      </w:r>
      <w:r w:rsidR="008C593A">
        <w:t xml:space="preserve">he court rules that </w:t>
      </w:r>
      <w:proofErr w:type="spellStart"/>
      <w:r w:rsidR="008C593A">
        <w:t>Gladwell</w:t>
      </w:r>
      <w:proofErr w:type="spellEnd"/>
      <w:r w:rsidR="008C593A">
        <w:t xml:space="preserve"> survi</w:t>
      </w:r>
      <w:r w:rsidR="00B16266">
        <w:t>ve</w:t>
      </w:r>
      <w:r w:rsidR="001B097B">
        <w:t>s</w:t>
      </w:r>
      <w:r w:rsidR="00B16266">
        <w:t xml:space="preserve"> a motion to dismiss on an </w:t>
      </w:r>
      <w:r w:rsidR="00B16266">
        <w:lastRenderedPageBreak/>
        <w:t>alleged invalid transfer, but his case is still “far from evident</w:t>
      </w:r>
      <w:r w:rsidR="008C593A">
        <w:t>.</w:t>
      </w:r>
      <w:r w:rsidR="00B16266">
        <w:t xml:space="preserve">” </w:t>
      </w:r>
      <w:bookmarkStart w:id="69" w:name="Psych_Cite_764"/>
      <w:proofErr w:type="gramStart"/>
      <w:r w:rsidR="00B16266">
        <w:rPr>
          <w:i/>
        </w:rPr>
        <w:t>Id</w:t>
      </w:r>
      <w:r w:rsidR="00B16266">
        <w:t>. at 626</w:t>
      </w:r>
      <w:bookmarkEnd w:id="69"/>
      <w:r w:rsidR="00B16266">
        <w:t>.</w:t>
      </w:r>
      <w:proofErr w:type="gramEnd"/>
      <w:r w:rsidR="008C593A">
        <w:t xml:space="preserve"> Thus, the </w:t>
      </w:r>
      <w:r w:rsidR="001B097B">
        <w:t xml:space="preserve">general circuit </w:t>
      </w:r>
      <w:r w:rsidR="008C593A">
        <w:t xml:space="preserve">rule can still apply to the Ninth Circuit, with the same outcome, because the parties did not understand at the time of creation that the work was for hire. </w:t>
      </w:r>
      <w:r w:rsidR="00B16266">
        <w:t>Furthermore, and s</w:t>
      </w:r>
      <w:r w:rsidR="006810FD">
        <w:t xml:space="preserve">imilar to </w:t>
      </w:r>
      <w:r w:rsidR="006810FD">
        <w:rPr>
          <w:i/>
        </w:rPr>
        <w:t>Playboy</w:t>
      </w:r>
      <w:r w:rsidR="008C593A">
        <w:t>,</w:t>
      </w:r>
      <w:r w:rsidR="006810FD">
        <w:t xml:space="preserve"> it may be too late to </w:t>
      </w:r>
      <w:r w:rsidR="00B16266">
        <w:t>designate</w:t>
      </w:r>
      <w:r w:rsidR="006810FD">
        <w:t xml:space="preserve"> author status;</w:t>
      </w:r>
      <w:r w:rsidR="008C593A">
        <w:t xml:space="preserve"> i</w:t>
      </w:r>
      <w:r w:rsidR="00864017">
        <w:t xml:space="preserve">f author rights are </w:t>
      </w:r>
      <w:r w:rsidR="00B16266">
        <w:t>claimed by the creator,</w:t>
      </w:r>
      <w:r w:rsidR="00864017">
        <w:t xml:space="preserve"> </w:t>
      </w:r>
      <w:r w:rsidR="00B16266">
        <w:t>then author status can no longer</w:t>
      </w:r>
      <w:r w:rsidR="001B097B">
        <w:t xml:space="preserve"> be designated to another party (particularly long after authorship rights have been assigned).</w:t>
      </w:r>
    </w:p>
    <w:p w14:paraId="16CE2E0F" w14:textId="77777777" w:rsidR="008C593A" w:rsidRDefault="00336856" w:rsidP="00AC5410">
      <w:pPr>
        <w:spacing w:line="480" w:lineRule="auto"/>
        <w:ind w:firstLine="720"/>
      </w:pPr>
      <w:r>
        <w:t xml:space="preserve">Finally, </w:t>
      </w:r>
      <w:r w:rsidR="00B16266">
        <w:t xml:space="preserve">the </w:t>
      </w:r>
      <w:r w:rsidR="001B097B">
        <w:t>general circuit</w:t>
      </w:r>
      <w:r w:rsidR="00B16266">
        <w:t xml:space="preserve"> rule also works in the Seventh Circuit’s pivotal case. Here, again, works were created, but the creator did not sign over his rights. </w:t>
      </w:r>
      <w:bookmarkStart w:id="70" w:name="Psych_Cite_630"/>
      <w:r w:rsidR="00B16266">
        <w:rPr>
          <w:i/>
        </w:rPr>
        <w:t xml:space="preserve">Schiller &amp; Schmidt, Inc., v. </w:t>
      </w:r>
      <w:proofErr w:type="spellStart"/>
      <w:r w:rsidR="00B16266">
        <w:rPr>
          <w:i/>
        </w:rPr>
        <w:t>Nordisco</w:t>
      </w:r>
      <w:proofErr w:type="spellEnd"/>
      <w:r w:rsidR="00B16266">
        <w:rPr>
          <w:i/>
        </w:rPr>
        <w:t xml:space="preserve"> Corp.</w:t>
      </w:r>
      <w:r w:rsidR="00B16266">
        <w:t>, 969 F.2d 410, 412</w:t>
      </w:r>
      <w:bookmarkEnd w:id="70"/>
      <w:r w:rsidR="00687ECC">
        <w:t xml:space="preserve"> (1992)</w:t>
      </w:r>
      <w:r w:rsidR="00B16266">
        <w:t xml:space="preserve">. “Years after the creation of the pictures,” photographer </w:t>
      </w:r>
      <w:proofErr w:type="spellStart"/>
      <w:r w:rsidR="00B16266">
        <w:t>Bertel</w:t>
      </w:r>
      <w:proofErr w:type="spellEnd"/>
      <w:r w:rsidR="00B16266">
        <w:t xml:space="preserve"> eventually signed a </w:t>
      </w:r>
      <w:r w:rsidR="00DA4D89">
        <w:t xml:space="preserve">document assigning “remaining copyright” to Schiller. Not only is it unclear whether the parties understood that the work would be made for hire prior to creation, but Schiller did not sign the writing, and the writing did not expressly state that the works would be made for hire. </w:t>
      </w:r>
      <w:bookmarkStart w:id="71" w:name="Psych_Cite_767"/>
      <w:proofErr w:type="gramStart"/>
      <w:r w:rsidR="00DA4D89">
        <w:rPr>
          <w:i/>
        </w:rPr>
        <w:t>Id.</w:t>
      </w:r>
      <w:r w:rsidR="00DA4D89">
        <w:t xml:space="preserve"> at 412</w:t>
      </w:r>
      <w:bookmarkEnd w:id="71"/>
      <w:r w:rsidR="00DA4D89">
        <w:t>.</w:t>
      </w:r>
      <w:proofErr w:type="gramEnd"/>
      <w:r w:rsidR="00DA4D89">
        <w:t xml:space="preserve"> Without such an understanding and valid signed agreement, the property could never be “readily marketable.” Instead, the creator retain</w:t>
      </w:r>
      <w:r w:rsidR="00DE4D37">
        <w:t>s</w:t>
      </w:r>
      <w:r w:rsidR="00DA4D89">
        <w:t xml:space="preserve"> </w:t>
      </w:r>
      <w:r w:rsidR="00DE4D37">
        <w:t>his</w:t>
      </w:r>
      <w:r w:rsidR="00DA4D89">
        <w:t xml:space="preserve"> rights </w:t>
      </w:r>
      <w:r w:rsidR="00DE4D37">
        <w:t>as</w:t>
      </w:r>
      <w:r w:rsidR="00DA4D89">
        <w:t xml:space="preserve"> author, the same as if he never signed the written agreement at all. The court states that the purpose of the writing is “identifying the (</w:t>
      </w:r>
      <w:proofErr w:type="spellStart"/>
      <w:r w:rsidR="00DA4D89">
        <w:t>noncreator</w:t>
      </w:r>
      <w:proofErr w:type="spellEnd"/>
      <w:r w:rsidR="00DA4D89">
        <w:t xml:space="preserve">) owner unequivocally,” and that it needs to precede creation of the property. </w:t>
      </w:r>
      <w:proofErr w:type="gramStart"/>
      <w:r w:rsidR="00DE4D37">
        <w:rPr>
          <w:i/>
        </w:rPr>
        <w:t xml:space="preserve">Id. </w:t>
      </w:r>
      <w:r w:rsidR="00DE4D37">
        <w:t>at 413.</w:t>
      </w:r>
      <w:proofErr w:type="gramEnd"/>
      <w:r w:rsidR="00DE4D37">
        <w:t xml:space="preserve"> </w:t>
      </w:r>
      <w:r w:rsidR="00DD0F70">
        <w:t>Once more, the court is resolving the case on other grounds</w:t>
      </w:r>
      <w:r w:rsidR="00F35ECD">
        <w:t>, leaving the timing comment as dicta</w:t>
      </w:r>
      <w:r w:rsidR="00DD0F70">
        <w:t xml:space="preserve">. There was no property conflict to find here; since there was no signed writing, there could be no transfer of work-for-hire status. If resolution centered on work-for-hire status, the court’s reasoning, </w:t>
      </w:r>
      <w:r w:rsidR="00F35ECD">
        <w:t xml:space="preserve">statutory </w:t>
      </w:r>
      <w:r w:rsidR="00DD0F70">
        <w:t>phrasing, and</w:t>
      </w:r>
      <w:r w:rsidR="00F35ECD">
        <w:t xml:space="preserve"> legislative</w:t>
      </w:r>
      <w:r w:rsidR="00DD0F70">
        <w:t xml:space="preserve"> purposes would still be served </w:t>
      </w:r>
      <w:r w:rsidR="00F35ECD">
        <w:t xml:space="preserve">perfectly </w:t>
      </w:r>
      <w:r w:rsidR="00DE4D37">
        <w:t>by the general circuit</w:t>
      </w:r>
      <w:r w:rsidR="00DD0F70">
        <w:t xml:space="preserve"> rule</w:t>
      </w:r>
      <w:r w:rsidR="00F35ECD">
        <w:t>.</w:t>
      </w:r>
    </w:p>
    <w:p w14:paraId="7EC9B762" w14:textId="77777777" w:rsidR="00DD0F70" w:rsidRPr="00DA4D89" w:rsidRDefault="00DD0F70" w:rsidP="00AC5410">
      <w:pPr>
        <w:spacing w:line="480" w:lineRule="auto"/>
        <w:ind w:firstLine="720"/>
      </w:pPr>
      <w:r>
        <w:t>When l</w:t>
      </w:r>
      <w:r w:rsidR="00F35ECD">
        <w:t xml:space="preserve">ooking at all relevant cases, </w:t>
      </w:r>
      <w:r w:rsidR="001B097B">
        <w:t>a truce</w:t>
      </w:r>
      <w:r w:rsidR="00373090">
        <w:t xml:space="preserve"> </w:t>
      </w:r>
      <w:r w:rsidR="00F35ECD">
        <w:t>emerges</w:t>
      </w:r>
      <w:r w:rsidR="00DE4D37">
        <w:t xml:space="preserve"> between the circuits</w:t>
      </w:r>
      <w:r w:rsidR="00F35ECD">
        <w:t xml:space="preserve">. The statute’s requirements of an explicit, signed agreement and category of work must be met. The purposes </w:t>
      </w:r>
      <w:r w:rsidR="00F35ECD">
        <w:lastRenderedPageBreak/>
        <w:t xml:space="preserve">of predictability and certainty prevent designation of author status years down the road, and when author rights have been secured by the creator. </w:t>
      </w:r>
      <w:r w:rsidR="00767F27">
        <w:t xml:space="preserve">The circuit courts do not disagree about what is </w:t>
      </w:r>
      <w:r w:rsidR="00373090">
        <w:t>required</w:t>
      </w:r>
      <w:r w:rsidR="00767F27">
        <w:t xml:space="preserve">, the policy preferences, or even that certain timing situations can be </w:t>
      </w:r>
      <w:r w:rsidR="00373090">
        <w:t xml:space="preserve">unreasonable. Instead, they work for the same results. Create a predictable, certain outcome with steady rules. Ensure an appropriate transfer with signed, written, explicit documents. </w:t>
      </w:r>
      <w:r w:rsidR="00DE4D37">
        <w:t>Clearly determine the owner</w:t>
      </w:r>
      <w:r w:rsidR="00373090">
        <w:t xml:space="preserve"> by understanding who is the author, and if the work is made for hire. The shared reasoning points to the proposed </w:t>
      </w:r>
      <w:r w:rsidR="00DE4D37">
        <w:t xml:space="preserve">general circuit </w:t>
      </w:r>
      <w:r w:rsidR="00373090">
        <w:t xml:space="preserve">rule. </w:t>
      </w:r>
      <w:r w:rsidR="00DE4D37">
        <w:t xml:space="preserve">Agreements signed reasonably soon </w:t>
      </w:r>
      <w:r w:rsidR="00373090">
        <w:t xml:space="preserve">after </w:t>
      </w:r>
      <w:r w:rsidR="00DE4D37">
        <w:t>the work’s creation</w:t>
      </w:r>
      <w:r w:rsidR="00373090">
        <w:t xml:space="preserve"> are sufficient to establish works as made for hire, so long as the parties understand the work will be made for hire. </w:t>
      </w:r>
      <w:r w:rsidR="000C2952">
        <w:t>This rule is applicable in all circuits, fits the rationale and outcomes in all relevant cases, addresses all policy concerns, abides by the statutory language, adopts the plain meaning of the statute, and comports with the legislative history. This rule should be adopted by the court</w:t>
      </w:r>
      <w:r w:rsidR="00DE4D37">
        <w:t xml:space="preserve"> in the case at bar</w:t>
      </w:r>
      <w:r w:rsidR="000C2952">
        <w:t>.</w:t>
      </w:r>
    </w:p>
    <w:p w14:paraId="1B8D24D0" w14:textId="77777777" w:rsidR="008A102B" w:rsidRDefault="008A102B" w:rsidP="000C2952">
      <w:pPr>
        <w:spacing w:line="480" w:lineRule="auto"/>
        <w:rPr>
          <w:b/>
          <w:u w:val="single"/>
        </w:rPr>
      </w:pPr>
    </w:p>
    <w:p w14:paraId="10C9FCEF" w14:textId="77777777" w:rsidR="008A102B" w:rsidRPr="0056459B" w:rsidRDefault="008A102B" w:rsidP="008A102B">
      <w:pPr>
        <w:spacing w:line="480" w:lineRule="auto"/>
        <w:jc w:val="center"/>
        <w:rPr>
          <w:b/>
          <w:u w:val="single"/>
        </w:rPr>
      </w:pPr>
      <w:r>
        <w:rPr>
          <w:b/>
          <w:u w:val="single"/>
        </w:rPr>
        <w:t>CONCLUSION</w:t>
      </w:r>
    </w:p>
    <w:p w14:paraId="2FF9073C" w14:textId="77777777" w:rsidR="00DD32C2" w:rsidRPr="008A102B" w:rsidRDefault="008A102B" w:rsidP="00F35ECD">
      <w:pPr>
        <w:spacing w:line="480" w:lineRule="auto"/>
        <w:ind w:firstLine="720"/>
      </w:pPr>
      <w:r>
        <w:t>Viewing the facts in a light most favorable to Plaintiffs, the motion to dismiss must be denied. Plaintiff states a claim upon which relief can be granted. Plaintiff and Defendant Lime agreed that the work would be made for hire, and satisfied the statutory requirements by expressly agreeing in a signed instrument that the work was for hire. No evide</w:t>
      </w:r>
      <w:r w:rsidR="000C2952">
        <w:t>nce for a timing requirement overrides</w:t>
      </w:r>
      <w:r>
        <w:t xml:space="preserve"> the plain meaning or legislative history of the </w:t>
      </w:r>
      <w:r w:rsidR="000C2952">
        <w:t>statute</w:t>
      </w:r>
      <w:r>
        <w:t>, and persuasive case law shows that the purposes of predict</w:t>
      </w:r>
      <w:r w:rsidR="000C2952">
        <w:t>ability and certainty</w:t>
      </w:r>
      <w:r>
        <w:t xml:space="preserve"> are achieved best by not imposing a timing requirement, especially where the work is </w:t>
      </w:r>
      <w:r w:rsidR="000C2952">
        <w:t>understood</w:t>
      </w:r>
      <w:r>
        <w:t xml:space="preserve"> as “for hire” prior to creation. </w:t>
      </w:r>
      <w:r w:rsidR="000C2952">
        <w:t>Therefore, Plaintiff’s claim should continue.</w:t>
      </w:r>
    </w:p>
    <w:sectPr w:rsidR="00DD32C2" w:rsidRPr="008A102B" w:rsidSect="00855DB9">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BD87C" w14:textId="77777777" w:rsidR="008B7E6C" w:rsidRDefault="008B7E6C" w:rsidP="00FC5D1F">
      <w:r>
        <w:separator/>
      </w:r>
    </w:p>
  </w:endnote>
  <w:endnote w:type="continuationSeparator" w:id="0">
    <w:p w14:paraId="29C9DB3B" w14:textId="77777777" w:rsidR="008B7E6C" w:rsidRDefault="008B7E6C" w:rsidP="00FC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067067"/>
      <w:docPartObj>
        <w:docPartGallery w:val="Page Numbers (Bottom of Page)"/>
        <w:docPartUnique/>
      </w:docPartObj>
    </w:sdtPr>
    <w:sdtEndPr>
      <w:rPr>
        <w:noProof/>
      </w:rPr>
    </w:sdtEndPr>
    <w:sdtContent>
      <w:p w14:paraId="63FA9FA7" w14:textId="77777777" w:rsidR="00392602" w:rsidRDefault="00392602">
        <w:pPr>
          <w:pStyle w:val="Footer"/>
          <w:jc w:val="center"/>
        </w:pPr>
        <w:r>
          <w:fldChar w:fldCharType="begin"/>
        </w:r>
        <w:r>
          <w:instrText xml:space="preserve"> PAGE   \* MERGEFORMAT </w:instrText>
        </w:r>
        <w:r>
          <w:fldChar w:fldCharType="separate"/>
        </w:r>
        <w:r w:rsidR="006D16F1">
          <w:rPr>
            <w:noProof/>
          </w:rPr>
          <w:t>2</w:t>
        </w:r>
        <w:r>
          <w:rPr>
            <w:noProof/>
          </w:rPr>
          <w:fldChar w:fldCharType="end"/>
        </w:r>
      </w:p>
    </w:sdtContent>
  </w:sdt>
  <w:p w14:paraId="20CBBFD5" w14:textId="77777777" w:rsidR="00392602" w:rsidRDefault="0039260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391762"/>
      <w:docPartObj>
        <w:docPartGallery w:val="Page Numbers (Bottom of Page)"/>
        <w:docPartUnique/>
      </w:docPartObj>
    </w:sdtPr>
    <w:sdtEndPr>
      <w:rPr>
        <w:noProof/>
      </w:rPr>
    </w:sdtEndPr>
    <w:sdtContent>
      <w:p w14:paraId="515096FD" w14:textId="77777777" w:rsidR="00392602" w:rsidRDefault="00392602">
        <w:pPr>
          <w:pStyle w:val="Footer"/>
          <w:jc w:val="center"/>
        </w:pPr>
        <w:r>
          <w:fldChar w:fldCharType="begin"/>
        </w:r>
        <w:r>
          <w:instrText xml:space="preserve"> PAGE   \* MERGEFORMAT </w:instrText>
        </w:r>
        <w:r>
          <w:fldChar w:fldCharType="separate"/>
        </w:r>
        <w:r w:rsidR="006D16F1">
          <w:rPr>
            <w:noProof/>
          </w:rPr>
          <w:t>1</w:t>
        </w:r>
        <w:r>
          <w:rPr>
            <w:noProof/>
          </w:rPr>
          <w:fldChar w:fldCharType="end"/>
        </w:r>
      </w:p>
    </w:sdtContent>
  </w:sdt>
  <w:p w14:paraId="1BBD5A54" w14:textId="77777777" w:rsidR="00392602" w:rsidRDefault="0039260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75B4A" w14:textId="77777777" w:rsidR="008B7E6C" w:rsidRDefault="008B7E6C" w:rsidP="00FC5D1F">
      <w:r>
        <w:separator/>
      </w:r>
    </w:p>
  </w:footnote>
  <w:footnote w:type="continuationSeparator" w:id="0">
    <w:p w14:paraId="572BCC91" w14:textId="77777777" w:rsidR="008B7E6C" w:rsidRDefault="008B7E6C" w:rsidP="00FC5D1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5429D" w14:textId="77777777" w:rsidR="00392602" w:rsidRDefault="006D16F1" w:rsidP="00855DB9">
    <w:pPr>
      <w:pStyle w:val="Header"/>
      <w:jc w:val="right"/>
    </w:pPr>
    <w:r>
      <w:rPr>
        <w:rFonts w:eastAsia="Times New Roman"/>
      </w:rPr>
      <w:t>&lt;</w:t>
    </w:r>
    <w:proofErr w:type="gramStart"/>
    <w:r>
      <w:rPr>
        <w:rFonts w:eastAsia="Times New Roman"/>
      </w:rPr>
      <w:t>redacted</w:t>
    </w:r>
    <w:proofErr w:type="gramEnd"/>
    <w:r>
      <w:rPr>
        <w:rFonts w:eastAsia="Times New Roman"/>
      </w:rPr>
      <w:t>&gt;&lt;/redacted&gt;</w:t>
    </w:r>
  </w:p>
  <w:p w14:paraId="4CB969C9" w14:textId="77777777" w:rsidR="00392602" w:rsidRDefault="00392602" w:rsidP="00855DB9">
    <w:pPr>
      <w:pStyle w:val="Header"/>
      <w:jc w:val="right"/>
    </w:pPr>
    <w:r>
      <w:t>1 Mar 2012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ED14D8"/>
    <w:multiLevelType w:val="hybridMultilevel"/>
    <w:tmpl w:val="4F468106"/>
    <w:lvl w:ilvl="0" w:tplc="69D44E9A">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DB6EF5"/>
    <w:multiLevelType w:val="hybridMultilevel"/>
    <w:tmpl w:val="FF4EFD8A"/>
    <w:lvl w:ilvl="0" w:tplc="6A68AB6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D2D35D7"/>
    <w:multiLevelType w:val="hybridMultilevel"/>
    <w:tmpl w:val="4DBE07A0"/>
    <w:lvl w:ilvl="0" w:tplc="00088F3A">
      <w:start w:val="1"/>
      <w:numFmt w:val="lowerLetter"/>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AD468F6"/>
    <w:multiLevelType w:val="hybridMultilevel"/>
    <w:tmpl w:val="43CEB7A6"/>
    <w:lvl w:ilvl="0" w:tplc="C8E69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CITRUS_CORRECTED_CITE" w:val="17 U.S.C. § 201"/>
    <w:docVar w:name="_CITRUS_JURISDICTION" w:val="Bluebook"/>
    <w:docVar w:name="CITRUS_BOOKMARK1[0]" w:val="&lt;#1&gt;&lt;citation&gt;&lt;citation._original_string&gt;17 USC § 101 and § 201&lt;/citation._original_string&gt;&lt;citation._current_string&gt;17 U.S.C. §§ 101, 201 (2006)&lt;/citation._current_string&gt;&lt;citation._full_string&gt;17 U.S.C. §§101, 201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2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2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201 &lt;/citation.value13&gt;&lt;citation.key14&gt;USCCodeCitation.__SectionOrSections.SectionNumberList.Ampersand&lt;/citation.key14&gt;&lt;citation.value14&gt; &amp; &lt;/citation.value14&gt;&lt;citation.key15&gt;USCCodeCitation.__SectionOrSections.SectionNumberList.Ampersand.And&lt;/citation.key15&gt;&lt;citation.value15&gt;and&lt;/citation.value15&gt;&lt;citation.key16&gt;USCCodeCitation.__SectionOrSections.SectionNumberList.Ampersand._Pattern&lt;/citation.key16&gt;&lt;citation.value16&gt;Ampersand.Ampersand&lt;/citation.value16&gt;&lt;citation.key17&gt;USCCodeCitation.__SectionOrSections.SectionNumberList.SectionNumberList&lt;/citation.key17&gt;&lt;citation.value17&gt;201 &lt;/citation.value17&gt;&lt;citation.key18&gt;USCCodeCitation.__SectionOrSections.SectionNumberList.SectionNumberList.SectionNumberScalarOrRange&lt;/citation.key18&gt;&lt;citation.value18&gt;201 &lt;/citation.value18&gt;&lt;citation.key19&gt;USCCodeCitation.__SectionOrSections.SectionNumberList.SectionNumberList.SectionNumberScalarOrRange.SectionNumber&lt;/citation.key19&gt;&lt;citation.value19&gt;201&lt;/citation.value19&gt;&lt;citation.key20&gt;USCCodeCitation.__SectionOrSections.SectionNumberList.SectionNumberList.SectionNumberScalarOrRange._Pattern&lt;/citation.key20&gt;&lt;citation.value20&gt;SectionNumberScalarOrRange2.SectionNumberScalarOrRange2&lt;/citation.value20&gt;&lt;citation.key21&gt;USCCodeCitation.__SectionOrSections.SectionNumberList.SectionNumberList._Pattern&lt;/citation.key21&gt;&lt;citation.value21&gt;SectionNumberList2.SectionNumberList2&lt;/citation.value21&gt;&lt;citation.key22&gt;USCCodeCitation.__SectionOrSections.SectionNumberList.SectionNumberScalarOrRange&lt;/citation.key22&gt;&lt;citation.value22&gt;101 &lt;/citation.value22&gt;&lt;citation.key23&gt;USCCodeCitation.__SectionOrSections.SectionNumberList.SectionNumberScalarOrRange.SectionNumber&lt;/citation.key23&gt;&lt;citation.value23&gt;101&lt;/citation.value23&gt;&lt;citation.key24&gt;USCCodeCitation.__SectionOrSections.SectionNumberList.SectionNumberScalarOrRange._Pattern&lt;/citation.key24&gt;&lt;citation.value24&gt;SectionNumberScalarOrRange.SectionNumberScalarOrRange&lt;/citation.value24&gt;&lt;citation.key25&gt;USCCodeCitation.__SectionOrSections.SectionNumberList.SectionSymbol&lt;/citation.key25&gt;&lt;citation.value25&gt;§ &lt;/citation.value25&gt;&lt;citation.key26&gt;USCCodeCitation.__SectionOrSections.SectionNumberList._Pattern&lt;/citation.key26&gt;&lt;citation.value26&gt;SectionNumberList.SectionNumberList&lt;/citation.value26&gt;&lt;citation.key27&gt;USCCodeCitation.__SectionOrSections._Pattern&lt;/citation.key27&gt;&lt;citation.value27&gt;SectionOrSections.SectionOrSections&lt;/citation.value27&gt;&lt;citation.key28&gt;__AfterStatutoryCite&lt;/citation.key28&gt;&lt;citation.value28&gt; (2006)&lt;/citation.value28&gt;&lt;citation.key29&gt;__AfterStatutoryCite.StatutoryCodeEditionCite&lt;/citation.key29&gt;&lt;citation.value29&gt;(2006)&lt;/citation.value29&gt;&lt;citation.key30&gt;__AfterStatutoryCite.StatutoryCodeEditionCite.(&lt;/citation.key30&gt;&lt;citation.value30&gt;(&lt;/citation.value30&gt;&lt;citation.key31&gt;__AfterStatutoryCite.StatutoryCodeEditionCite.)&lt;/citation.key31&gt;&lt;citation.value31&gt;)&lt;/citation.value31&gt;&lt;citation.key32&gt;__AfterStatutoryCite.StatutoryCodeEditionCite.StatutoryCodeEdition&lt;/citation.key32&gt;&lt;citation.value32&gt;2006&lt;/citation.value32&gt;&lt;citation.key33&gt;__AfterStatutoryCite.StatutoryCodeEditionCite.StatutoryCodeEdition.Publisher&lt;/citation.key33&gt;&lt;citation.value33&gt;&lt;/citation.value33&gt;&lt;citation.key34&gt;__AfterStatutoryCite.StatutoryCodeEditionCite.StatutoryCodeEdition.Year&lt;/citation.key34&gt;&lt;citation.value34&gt;2006&lt;/citation.value34&gt;&lt;citation.key35&gt;__AfterStatutoryCite.StatutoryCodeEditionCite.StatutoryCodeEdition.Year.Year&lt;/citation.key35&gt;&lt;citation.value35&gt;2006&lt;/citation.value35&gt;&lt;citation.key36&gt;__AfterStatutoryCite.StatutoryCodeEditionCite.StatutoryCodeEdition.Year._Pattern&lt;/citation.key36&gt;&lt;citation.value36&gt;Year.Year&lt;/citation.value36&gt;&lt;citation.key37&gt;__AfterStatutoryCite.StatutoryCodeEditionCite.StatutoryCodeEdition._Pattern&lt;/citation.key37&gt;&lt;citation.value37&gt;StatutoryCodeEdition.StatutoryCodeEdition&lt;/citation.value37&gt;&lt;citation.key38&gt;__AfterStatutoryCite.StatutoryCodeEditionCite._Pattern&lt;/citation.key38&gt;&lt;citation.value38&gt;StatutoryCodeEditionCite.StatutoryCodeEditionCite&lt;/citation.value38&gt;&lt;citation.key39&gt;__AfterStatutoryCite._Pattern&lt;/citation.key39&gt;&lt;citation.value39&gt;AfterStatutoryCite.AfterStatutoryCite&lt;/citation.value39&gt;&lt;/citation&gt;_x000a_"/>
    <w:docVar w:name="CITRUS_BOOKMARK10[0]" w:val="&lt;#1&gt;&lt;citation&gt;&lt;citation._original_string&gt;Lamie v. United States Trustee, 540 U.S. 536, 534 (2004)&lt;/citation._original_string&gt;&lt;citation._current_string&gt;Lamie v. U.S. Tr., 540 U.S. 526, 536 (2004)&lt;/citation._current_string&gt;&lt;citation._full_string&gt;Lamie v. U.S. Tr., 540 U.S. 526, 536 (2004)&lt;/citation._full_string&gt;&lt;citation._current_format&gt;Full.CaseCitation&lt;/citation._current_format&gt;&lt;citation.name&gt;&lt;/citation.name&gt;&lt;citation.key0&gt;,&lt;/citation.key0&gt;&lt;citation.value0&gt;,&lt;/citation.value0&gt;&lt;citation.key1&gt;CaseName.FirstParty.Party&lt;/citation.key1&gt;&lt;citation.value1&gt;Lamie&lt;/citation.value1&gt;&lt;citation.key2&gt;CaseName.FirstParty._Pattern&lt;/citation.key2&gt;&lt;citation.value2&gt;Party.Party&lt;/citation.value2&gt;&lt;citation.key3&gt;CaseName.SecondParty.Party&lt;/citation.key3&gt;&lt;citation.value3&gt;United States Trustee&lt;/citation.value3&gt;&lt;citation.key4&gt;CaseName.SecondParty._Pattern&lt;/citation.key4&gt;&lt;citation.value4&gt;Party.Party&lt;/citation.value4&gt;&lt;citation.key5&gt;CourtParenthetical&lt;/citation.key5&gt;&lt;citation.value5&gt; (2004) &lt;/citation.value5&gt;&lt;citation.key6&gt;CourtParenthetical.Date.Year.Year&lt;/citation.key6&gt;&lt;citation.value6&gt;2004&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Lamie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40 U.S. 526, 536&lt;/citation.value23&gt;&lt;citation.key24&gt;Reporter.FirstPage&lt;/citation.key24&gt;&lt;citation.value24&gt;526&lt;/citation.value24&gt;&lt;citation.key25&gt;Reporter.ForbiddenComma._Pattern&lt;/citation.key25&gt;&lt;citation.value25&gt;ForbiddenComma.ForbiddenComma&lt;/citation.value25&gt;&lt;citation.key26&gt;Reporter.Name&lt;/citation.key26&gt;&lt;citation.value26&gt;U.S.&lt;/citation.value26&gt;&lt;citation.key27&gt;Reporter.RequiredComma&lt;/citation.key27&gt;&lt;citation.value27&gt;, &lt;/citation.value27&gt;&lt;citation.key28&gt;Reporter.RequiredComma.Comma&lt;/citation.key28&gt;&lt;citation.value28&gt;,&lt;/citation.value28&gt;&lt;citation.key29&gt;Reporter.RequiredComma._Pattern&lt;/citation.key29&gt;&lt;citation.value29&gt;RequiredComma.RequiredComma&lt;/citation.value29&gt;&lt;citation.key30&gt;Reporter.Volume&lt;/citation.key30&gt;&lt;citation.value30&gt;540&lt;/citation.value30&gt;&lt;citation.key31&gt;Reporter.[&lt;/citation.key31&gt;&lt;citation.value31&gt;[&lt;/citation.value31&gt;&lt;citation.key32&gt;Reporter.]&lt;/citation.key32&gt;&lt;citation.value32&gt;]&lt;/citation.value32&gt;&lt;citation.key33&gt;Reporter._Pattern&lt;/citation.key33&gt;&lt;citation.value33&gt;Reporter.Reporter&lt;/citation.value33&gt;&lt;citation.key34&gt;Reporter.__PinPages&lt;/citation.key34&gt;&lt;citation.value34&gt;536&lt;/citation.value34&gt;&lt;citation.key35&gt;Reporter.__PinPages.First&lt;/citation.key35&gt;&lt;citation.value35&gt;536&lt;/citation.value35&gt;&lt;citation.key36&gt;Reporter.__PinPages.First._Pattern&lt;/citation.key36&gt;&lt;citation.value36&gt;FirstPageInRange.FirstPageInRange&lt;/citation.value36&gt;&lt;citation.key37&gt;Reporter.__PinPages.First.__PageNumber&lt;/citation.key37&gt;&lt;citation.value37&gt;536&lt;/citation.value37&gt;&lt;citation.key38&gt;Reporter.__PinPages._Pattern&lt;/citation.key38&gt;&lt;citation.value38&gt;PinPages.PinPages&lt;/citation.value38&gt;&lt;citation.key39&gt;Reporter.page&lt;/citation.key39&gt;&lt;citation.value39&gt;page&lt;/citation.value39&gt;&lt;citation.key40&gt;RequiredComma&lt;/citation.key40&gt;&lt;citation.value40&gt;, &lt;/citation.value40&gt;&lt;citation.key41&gt;RequiredComma._Pattern&lt;/citation.key41&gt;&lt;citation.value41&gt;RequiredComma.RequiredComma&lt;/citation.value41&gt;&lt;citation.key42&gt;SecondParty&lt;/citation.key42&gt;&lt;citation.value42&gt;U.S. Tr. &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key47&gt;v&lt;/citation.key47&gt;&lt;citation.value47&gt;v.&lt;/citation.value47&gt;&lt;/citation&gt;_x000a_"/>
    <w:docVar w:name="CITRUS_BOOKMARK1000000036[0]" w:val="Law 53-58, 90-91, 92-94"/>
    <w:docVar w:name="CITRUS_BOOKMARK1000000037[0]" w:val="id. at 295-302"/>
    <w:docVar w:name="CITRUS_BOOKMARK1000000042[0]" w:val="Id., at 559"/>
    <w:docVar w:name="CITRUS_BOOKMARK1000000044[0]" w:val="Id., at 559"/>
    <w:docVar w:name="CITRUS_BOOKMARK1000000052[0]" w:val="id. at 295-302"/>
    <w:docVar w:name="CITRUS_BOOKMARK11[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2[0]" w:val="&lt;#1&gt;&lt;citation&gt;&lt;citation._original_string&gt;Black’s Law Dictionary (9th ed. 2009)&lt;/citation._original_string&gt;&lt;citation._current_string&gt;Black's Law Dictionary (9th ed. 2009)&lt;/citation._current_string&gt;&lt;citation._full_string&gt;Black's Law Dictionary (9th ed. 2009)&lt;/citation._full_string&gt;&lt;citation._current_format&gt;Full.Dictionaries&lt;/citation._current_format&gt;&lt;citation.name&gt;&lt;/citation.name&gt;&lt;citation.key0&gt;DictionaryEdition&lt;/citation.key0&gt;&lt;citation.value0&gt; (9th ed. 2009)&lt;/citation.value0&gt;&lt;citation.key1&gt;DictionaryEdition.(&lt;/citation.key1&gt;&lt;citation.value1&gt;(&lt;/citation.value1&gt;&lt;citation.key2&gt;DictionaryEdition.)&lt;/citation.key2&gt;&lt;citation.value2&gt;)&lt;/citation.value2&gt;&lt;citation.key3&gt;DictionaryEdition.DictionaryEditionName&lt;/citation.key3&gt;&lt;citation.value3&gt;9th ed. &lt;/citation.value3&gt;&lt;citation.key4&gt;DictionaryEdition.DictionaryEditionName.Edition&lt;/citation.key4&gt;&lt;citation.value4&gt;ed.&lt;/citation.value4&gt;&lt;citation.key5&gt;DictionaryEdition.DictionaryEditionName.EditionOrdinal&lt;/citation.key5&gt;&lt;citation.value5&gt;9th&lt;/citation.value5&gt;&lt;citation.key6&gt;DictionaryEdition.DictionaryEditionName._Pattern&lt;/citation.key6&gt;&lt;citation.value6&gt;DictionaryEditionName.DictionaryEditionName&lt;/citation.value6&gt;&lt;citation.key7&gt;DictionaryEdition.ForbiddenComma._Pattern&lt;/citation.key7&gt;&lt;citation.value7&gt;ForbiddenComma.ForbiddenComma&lt;/citation.value7&gt;&lt;citation.key8&gt;DictionaryEdition.Year&lt;/citation.key8&gt;&lt;citation.value8&gt;2009 &lt;/citation.value8&gt;&lt;citation.key9&gt;DictionaryEdition.Year.Year&lt;/citation.key9&gt;&lt;citation.value9&gt;2009&lt;/citation.value9&gt;&lt;citation.key10&gt;DictionaryEdition.Year._Pattern&lt;/citation.key10&gt;&lt;citation.value10&gt;Year.Year&lt;/citation.value10&gt;&lt;citation.key11&gt;DictionaryEdition._Pattern&lt;/citation.key11&gt;&lt;citation.value11&gt;DictionaryEdition.DictionaryEdition&lt;/citation.value11&gt;&lt;citation.key12&gt;DictionaryName&lt;/citation.key12&gt;&lt;citation.value12&gt;Black's Law Dictionary&lt;/citation.value12&gt;&lt;citation.key13&gt;Id&lt;/citation.key13&gt;&lt;citation.value13&gt;Id. &lt;/citation.value13&gt;&lt;citation.key14&gt;Id.Id&lt;/citation.key14&gt;&lt;citation.value14&gt;Id.&lt;/citation.value14&gt;&lt;citation.key15&gt;Id._Pattern&lt;/citation.key15&gt;&lt;citation.value15&gt;IdGraph.IdGraph&lt;/citation.value15&gt;&lt;/citation&gt;_x000a_"/>
    <w:docVar w:name="CITRUS_BOOKMARK13[0]" w:val="&lt;#1&gt;&lt;citation&gt;&lt;citation._original_string&gt;Caminetti v. United States, 242 U.S. 470, 485 (1917)&lt;/citation._original_string&gt;&lt;citation._current_string&gt;Caminetti v. United States, 242 U.S. 470, 485 (1917)&lt;/citation._current_string&gt;&lt;citation._full_string&gt;Caminetti v. United States, 242 U.S. 470, 485 (1917)&lt;/citation._full_string&gt;&lt;citation._current_format&gt;Full.CaseCitation&lt;/citation._current_format&gt;&lt;citation.name&gt;&lt;/citation.name&gt;&lt;citation.key0&gt;,&lt;/citation.key0&gt;&lt;citation.value0&gt;,&lt;/citation.value0&gt;&lt;citation.key1&gt;CaseName.FirstParty.Party&lt;/citation.key1&gt;&lt;citation.value1&gt;Caminetti&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917) &lt;/citation.value5&gt;&lt;citation.key6&gt;CourtParenthetical.Date.Year.Year&lt;/citation.key6&gt;&lt;citation.value6&gt;191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aminetti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242 U.S. 470, 485&lt;/citation.value23&gt;&lt;citation.key24&gt;Reporter.FirstPage&lt;/citation.key24&gt;&lt;citation.value24&gt;470&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242&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485&lt;/citation.value33&gt;&lt;citation.key34&gt;Reporter.__PinPages.First&lt;/citation.key34&gt;&lt;citation.value34&gt;485&lt;/citation.value34&gt;&lt;citation.key35&gt;Reporter.__PinPages.First._Pattern&lt;/citation.key35&gt;&lt;citation.value35&gt;FirstPageInRange.FirstPageInRange&lt;/citation.value35&gt;&lt;citation.key36&gt;Reporter.__PinPages.First.__PageNumber&lt;/citation.key36&gt;&lt;citation.value36&gt;485&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United State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14[0]" w:val="&lt;#1&gt;&lt;citation&gt;&lt;citation._original_string&gt;See: Shurgard Storage Centers, Inc. v. Safeguard Self Storage, Inc., 119 F. Supp. 2d 1121, 1124 (W.D. Wash. 2000)&lt;/citation._original_string&gt;&lt;citation._current_string&gt;Shurgard Storage Ctrs. v. Safeguard Self Storage, Inc., 119 F. Supp. 2d 1121, 1124 (W.D. Wash. 2000)&lt;/citation._current_string&gt;&lt;citation._full_string&gt;Shurgard Storage Ctrs. v. Safeguard Self Storage, Inc., 119 F. Supp. 2d 1121, 1124 (W.D. Wash. 2000)&lt;/citation._full_string&gt;&lt;citation._current_format&gt;Full.CaseCitation&lt;/citation._current_format&gt;&lt;citation.name&gt;&lt;/citation.name&gt;&lt;citation.key0&gt;,&lt;/citation.key0&gt;&lt;citation.value0&gt;,&lt;/citation.value0&gt;&lt;citation.key1&gt;CaseName.FirstParty&lt;/citation.key1&gt;&lt;citation.value1&gt;Shurgard Storage Ctrs.&lt;/citation.value1&gt;&lt;citation.key2&gt;CaseName.FirstParty.Party&lt;/citation.key2&gt;&lt;citation.value2&gt;Shurgard Storage Ctrs.&lt;/citation.value2&gt;&lt;citation.key3&gt;CaseName.FirstParty._Pattern&lt;/citation.key3&gt;&lt;citation.value3&gt;Party.Party&lt;/citation.value3&gt;&lt;citation.key4&gt;CaseName.SecondParty&lt;/citation.key4&gt;&lt;citation.value4&gt;Safeguard Self Storage, Inc.&lt;/citation.value4&gt;&lt;citation.key5&gt;CaseName.SecondParty.Party&lt;/citation.key5&gt;&lt;citation.value5&gt;Safeguard Self Storage,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W.D. Wash. 2000) &lt;/citation.value8&gt;&lt;citation.key9&gt;CourtParenthetical.CourtName&lt;/citation.key9&gt;&lt;citation.value9&gt;W.D. Wash. &lt;/citation.value9&gt;&lt;citation.key10&gt;CourtParenthetical.CourtName.CourtName&lt;/citation.key10&gt;&lt;citation.value10&gt;W.D. Wash.&lt;/citation.value10&gt;&lt;citation.key11&gt;CourtParenthetical.CourtName._Pattern&lt;/citation.key11&gt;&lt;citation.value11&gt;CourtName.CourtName&lt;/citation.value11&gt;&lt;citation.key12&gt;CourtParenthetical.Date.Year&lt;/citation.key12&gt;&lt;citation.value12&gt;2000&lt;/citation.value12&gt;&lt;citation.key13&gt;CourtParenthetical.Date.Year.Year&lt;/citation.key13&gt;&lt;citation.value13&gt;2000&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119 F. Supp. 2d 1121, 1124&lt;/citation.value30&gt;&lt;citation.key31&gt;Reporter.FirstPage&lt;/citation.key31&gt;&lt;citation.value31&gt;1121&lt;/citation.value31&gt;&lt;citation.key32&gt;Reporter.Name&lt;/citation.key32&gt;&lt;citation.value32&gt;F. Supp. 2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119&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1124&lt;/citation.value40&gt;&lt;citation.key41&gt;Reporter.__PinPages.First&lt;/citation.key41&gt;&lt;citation.value41&gt;1124&lt;/citation.value41&gt;&lt;citation.key42&gt;Reporter.__PinPages.First._Pattern&lt;/citation.key42&gt;&lt;citation.value42&gt;FirstPageInRange.FirstPageInRange&lt;/citation.value42&gt;&lt;citation.key43&gt;Reporter.__PinPages.First.__PageNumber&lt;/citation.key43&gt;&lt;citation.value43&gt;1124&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15[0]" w:val="&lt;#1&gt;&lt;citation&gt;&lt;citation._original_string&gt;Am. Bankers v. Ins. Group v. United States, 408 F.3d 1328, 1332 (11th Cir.2005)&lt;/citation._original_string&gt;&lt;citation._current_string&gt;Am. Bankers v. Ins. Group v. United States, 408 F.3d 1328, 1332 (11th Cir. 2005)&lt;/citation._current_string&gt;&lt;citation._full_string&gt;Am. Bankers v. Ins. Group v. United States, 408 F.3d 1328, 1332 (11th Cir. 2005)&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1328, 1332 (11th Cir. 2005) &lt;/citation.value3&gt;&lt;citation.key4&gt;NonperiodicalsEnd.(&lt;/citation.key4&gt;&lt;citation.value4&gt;(&lt;/citation.value4&gt;&lt;citation.key5&gt;NonperiodicalsEnd.)&lt;/citation.key5&gt;&lt;citation.value5&gt;)&lt;/citation.value5&gt;&lt;citation.key6&gt;NonperiodicalsEnd.ForbiddenComma._Pattern&lt;/citation.key6&gt;&lt;citation.value6&gt;ForbiddenComma.ForbiddenComma&lt;/citation.value6&gt;&lt;citation.key7&gt;NonperiodicalsEnd.Publisher&lt;/citation.key7&gt;&lt;citation.value7&gt;11th Cir.&lt;/citation.value7&gt;&lt;citation.key8&gt;NonperiodicalsEnd._Pattern&lt;/citation.key8&gt;&lt;citation.value8&gt;NonperiodicalsEnd.NonperiodicalsEnd&lt;/citation.value8&gt;&lt;citation.key9&gt;NonperiodicalsEnd.__PinPages&lt;/citation.key9&gt;&lt;citation.value9&gt;1328, 1332&lt;/citation.value9&gt;&lt;citation.key10&gt;NonperiodicalsEnd.__PinPages.First&lt;/citation.key10&gt;&lt;citation.value10&gt;1328&lt;/citation.value10&gt;&lt;citation.key11&gt;NonperiodicalsEnd.__PinPages.First._Pattern&lt;/citation.key11&gt;&lt;citation.value11&gt;FirstPageInRange.FirstPageInRange&lt;/citation.value11&gt;&lt;citation.key12&gt;NonperiodicalsEnd.__PinPages.First.__PageNumber&lt;/citation.key12&gt;&lt;citation.value12&gt;1328&lt;/citation.value12&gt;&lt;citation.key13&gt;NonperiodicalsEnd.__PinPages.RequiredComma&lt;/citation.key13&gt;&lt;citation.value13&gt;, &lt;/citation.value13&gt;&lt;citation.key14&gt;NonperiodicalsEnd.__PinPages.RequiredComma.Comma&lt;/citation.key14&gt;&lt;citation.value14&gt;,&lt;/citation.value14&gt;&lt;citation.key15&gt;NonperiodicalsEnd.__PinPages.RequiredComma._Pattern&lt;/citation.key15&gt;&lt;citation.value15&gt;RequiredComma.RequiredComma&lt;/citation.value15&gt;&lt;citation.key16&gt;NonperiodicalsEnd.__PinPages._Pattern&lt;/citation.key16&gt;&lt;citation.value16&gt;PinPages.PinPages&lt;/citation.value16&gt;&lt;citation.key17&gt;NonperiodicalsEnd.__PinPages.__PinPages&lt;/citation.key17&gt;&lt;citation.value17&gt;1332&lt;/citation.value17&gt;&lt;citation.key18&gt;NonperiodicalsEnd.__PinPages.__PinPages.First&lt;/citation.key18&gt;&lt;citation.value18&gt;1332&lt;/citation.value18&gt;&lt;citation.key19&gt;NonperiodicalsEnd.__PinPages.__PinPages.First._Pattern&lt;/citation.key19&gt;&lt;citation.value19&gt;FirstPageInRange.FirstPageInRange&lt;/citation.value19&gt;&lt;citation.key20&gt;NonperiodicalsEnd.__PinPages.__PinPages.First.__PageNumber&lt;/citation.key20&gt;&lt;citation.value20&gt;1332&lt;/citation.value20&gt;&lt;citation.key21&gt;NonperiodicalsEnd.__PinPages.__PinPages._Pattern&lt;/citation.key21&gt;&lt;citation.value21&gt;PinPages.PinPages&lt;/citation.value21&gt;&lt;citation.key22&gt;NonperiodicalsEnd.__Year&lt;/citation.key22&gt;&lt;citation.value22&gt;2005 &lt;/citation.value22&gt;&lt;citation.key23&gt;NonperiodicalsEnd.__Year.Year&lt;/citation.key23&gt;&lt;citation.value23&gt;2005&lt;/citation.value23&gt;&lt;citation.key24&gt;NonperiodicalsEnd.__Year._Pattern&lt;/citation.key24&gt;&lt;citation.value24&gt;Year.Year&lt;/citation.value24&gt;&lt;citation.key25&gt;NonperiodicalsEnd.__at&lt;/citation.key25&gt;&lt;citation.value25&gt;at &lt;/citation.value25&gt;&lt;citation.key26&gt;Title&lt;/citation.key26&gt;&lt;citation.value26&gt;Am. Bankers v. Ins. Group v. United States, 408 F.3d&lt;/citation.value26&gt;&lt;/citation&gt;_x000a_"/>
    <w:docVar w:name="CITRUS_BOOKMARK16[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7[0]" w:val="&lt;#1&gt;&lt;citation&gt;&lt;citation._original_string&gt;§ 201&lt;/citation._original_string&gt;&lt;citation._current_string&gt;17 U.S.C. § 201&lt;/citation._current_string&gt;&lt;citation._full_string&gt;17 U.S.C. §2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 &lt;/citation.value13&gt;&lt;citation.key14&gt;USCCodeCitation.__SectionOrSections.SectionNumberList.SectionNumberScalarOrRange&lt;/citation.key14&gt;&lt;citation.value14&gt;201 &lt;/citation.value14&gt;&lt;citation.key15&gt;USCCodeCitation.__SectionOrSections.SectionNumberList.SectionNumberScalarOrRange.SectionNumber&lt;/citation.key15&gt;&lt;citation.value15&gt;2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8[0]" w:val="&lt;#1&gt;&lt;citation&gt;&lt;citation._original_string&gt;17 USC § 201(b)&lt;/citation._original_string&gt;&lt;citation._current_string&gt;17 U.S.C. § 201(b)&lt;/citation._current_string&gt;&lt;citation._full_string&gt;17 U.S.C. §201(b)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b)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b)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b) &lt;/citation.value13&gt;&lt;citation.key14&gt;USCCodeCitation.__SectionOrSections.SectionNumberList.SectionNumberScalarOrRange&lt;/citation.key14&gt;&lt;citation.value14&gt;201(b) &lt;/citation.value14&gt;&lt;citation.key15&gt;USCCodeCitation.__SectionOrSections.SectionNumberList.SectionNumberScalarOrRange.SectionNumber&lt;/citation.key15&gt;&lt;citation.value15&gt;201(b)&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9[0]" w:val="&lt;#1&gt;&lt;citation&gt;&lt;citation._original_string&gt;17 USC § 201(a)&lt;/citation._original_string&gt;&lt;citation._current_string&gt;Id. § 201(a)&lt;/citation._current_string&gt;&lt;citation._full_string&gt;17 U.S.C. §201(a) (2006)&lt;/citation._full_string&gt;&lt;citation._current_format&gt;Id.USC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a)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a)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a) &lt;/citation.value13&gt;&lt;citation.key14&gt;USCCodeCitation.__SectionOrSections.SectionNumberList.SectionNumberScalarOrRange&lt;/citation.key14&gt;&lt;citation.value14&gt;201(a) &lt;/citation.value14&gt;&lt;citation.key15&gt;USCCodeCitation.__SectionOrSections.SectionNumberList.SectionNumberScalarOrRange.SectionNumber&lt;/citation.key15&gt;&lt;citation.value15&gt;201(a)&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0]" w:val="&lt;#1&gt;&lt;citation&gt;&lt;citation._original_string&gt;17 U.S.C. § 201(b)&lt;/citation._original_string&gt;&lt;citation._current_string&gt;17 U.S.C. § 201(b)&lt;/citation._current_string&gt;&lt;citation._full_string&gt;17 U.S.C. §201(b)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b)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b)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b) &lt;/citation.value13&gt;&lt;citation.key14&gt;USCCodeCitation.__SectionOrSections.SectionNumberList.SectionNumberScalarOrRange&lt;/citation.key14&gt;&lt;citation.value14&gt;201(b) &lt;/citation.value14&gt;&lt;citation.key15&gt;USCCodeCitation.__SectionOrSections.SectionNumberList.SectionNumberScalarOrRange.SectionNumber&lt;/citation.key15&gt;&lt;citation.value15&gt;201(b)&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0[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1[0]" w:val="&lt;#1&gt;&lt;citation&gt;&lt;citation._original_string&gt;17 USC § 201(d)(a)&lt;/citation._original_string&gt;&lt;citation._current_string&gt;17 U.S.C. § 201(d)(a)&lt;/citation._current_string&gt;&lt;citation._full_string&gt;17 U.S.C. §201(d)(a)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d)(a)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d)(a)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d)(a) &lt;/citation.value13&gt;&lt;citation.key14&gt;USCCodeCitation.__SectionOrSections.SectionNumberList.SectionNumberScalarOrRange&lt;/citation.key14&gt;&lt;citation.value14&gt;201(d)(a) &lt;/citation.value14&gt;&lt;citation.key15&gt;USCCodeCitation.__SectionOrSections.SectionNumberList.SectionNumberScalarOrRange.SectionNumber&lt;/citation.key15&gt;&lt;citation.value15&gt;201(d)(a)&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2[0]" w:val="&lt;#1&gt;&lt;citation&gt;&lt;citation._original_string&gt;17 U.S.C. § 203&lt;/citation._original_string&gt;&lt;citation._current_string&gt;17 U.S.C. § 203&lt;/citation._current_string&gt;&lt;citation._full_string&gt;17 U.S.C. §203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3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3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3 &lt;/citation.value13&gt;&lt;citation.key14&gt;USCCodeCitation.__SectionOrSections.SectionNumberList.SectionNumberScalarOrRange&lt;/citation.key14&gt;&lt;citation.value14&gt;203 &lt;/citation.value14&gt;&lt;citation.key15&gt;USCCodeCitation.__SectionOrSections.SectionNumberList.SectionNumberScalarOrRange.SectionNumber&lt;/citation.key15&gt;&lt;citation.value15&gt;203&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3[0]" w:val="&lt;#1&gt;&lt;citation&gt;&lt;citation._original_string&gt;Id. § 203(a)(3)&lt;/citation._original_string&gt;&lt;citation._current_string&gt;Id. § 203(a)(3)&lt;/citation._current_string&gt;&lt;citation._full_string&gt;17 U.S.C. §203(a)(3) (2006)&lt;/citation._full_string&gt;&lt;citation._current_format&gt;Id.USC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 §203(a)(3) &lt;/citation.value4&gt;&lt;citation.key5&gt;USCCodeCitation.USCTitleAndCode&lt;/citation.key5&gt;&lt;citation.value5&gt;17 U.S.C. &lt;/citation.value5&gt;&lt;citation.key6&gt;USCCodeCitation.USCTitleAndCode.USC&lt;/citation.key6&gt;&lt;citation.value6&gt;U.S.C.&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203(a)(3)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203(a)(3) &lt;/citation.value14&gt;&lt;citation.key15&gt;USCCodeCitation.__SectionOrSections.SectionNumberList.SectionNumberScalarOrRange&lt;/citation.key15&gt;&lt;citation.value15&gt;203(a)(3) &lt;/citation.value15&gt;&lt;citation.key16&gt;USCCodeCitation.__SectionOrSections.SectionNumberList.SectionNumberScalarOrRange.SectionNumber&lt;/citation.key16&gt;&lt;citation.value16&gt;203(a)(3)&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2006)&lt;/citation.value21&gt;&lt;citation.key22&gt;__AfterStatutoryCite.StatutoryCodeEditionCite&lt;/citation.key22&gt;&lt;citation.value22&gt;(2006)&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06&lt;/citation.value25&gt;&lt;citation.key26&gt;__AfterStatutoryCite.StatutoryCodeEditionCite.StatutoryCodeEdition.Publisher&lt;/citation.key26&gt;&lt;citation.value26&gt;&lt;/citation.value26&gt;&lt;citation.key27&gt;__AfterStatutoryCite.StatutoryCodeEditionCite.StatutoryCodeEdition.Year&lt;/citation.key27&gt;&lt;citation.value27&gt;2006&lt;/citation.value27&gt;&lt;citation.key28&gt;__AfterStatutoryCite.StatutoryCodeEditionCite.StatutoryCodeEdition.Year.Year&lt;/citation.key28&gt;&lt;citation.value28&gt;2006&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 w:name="CITRUS_BOOKMARK24[0]" w:val="&lt;#1&gt;&lt;citation&gt;&lt;citation._original_string&gt;Estate of Burne Hogarth v. Edgar Rice Burroughs, Inc., 342 F.3d 149, 155 (2d Cir. 2003)&lt;/citation._original_string&gt;&lt;citation._current_string&gt;Estate of Hogarth v. Edgar Rice Burroughs, Inc., 342 F.3d 149, 155 (2d Cir. 2003)&lt;/citation._current_string&gt;&lt;citation._full_string&gt;Estate of Hogarth v. Edgar Rice Burroughs, Inc., 342 F.3d 149, 155 (2d Cir. 2003)&lt;/citation._full_string&gt;&lt;citation._current_format&gt;Full.CaseCitation&lt;/citation._current_format&gt;&lt;citation.name&gt;&lt;/citation.name&gt;&lt;citation.key0&gt;,&lt;/citation.key0&gt;&lt;citation.value0&gt;,&lt;/citation.value0&gt;&lt;citation.key1&gt;CaseName.FirstParty&lt;/citation.key1&gt;&lt;citation.value1&gt;Estate of Hogarth&lt;/citation.value1&gt;&lt;citation.key2&gt;CaseName.FirstParty.Party&lt;/citation.key2&gt;&lt;citation.value2&gt;Estate of Hogarth&lt;/citation.value2&gt;&lt;citation.key3&gt;CaseName.FirstParty._Pattern&lt;/citation.key3&gt;&lt;citation.value3&gt;Party.Party&lt;/citation.value3&gt;&lt;citation.key4&gt;CaseName.SecondParty&lt;/citation.key4&gt;&lt;citation.value4&gt;Edgar Rice Burroughs, Inc.&lt;/citation.value4&gt;&lt;citation.key5&gt;CaseName.SecondParty.Party&lt;/citation.key5&gt;&lt;citation.value5&gt;Edgar Rice Burroughs,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2003) &lt;/citation.value8&gt;&lt;citation.key9&gt;CourtParenthetical.CourtName&lt;/citation.key9&gt;&lt;citation.value9&gt;2d Cir. &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2003&lt;/citation.value12&gt;&lt;citation.key13&gt;CourtParenthetical.Date.Year.Year&lt;/citation.key13&gt;&lt;citation.value13&gt;2003&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342 F.3d 149, 155&lt;/citation.value30&gt;&lt;citation.key31&gt;Reporter.FirstPage&lt;/citation.key31&gt;&lt;citation.value31&gt;149&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342&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155&lt;/citation.value40&gt;&lt;citation.key41&gt;Reporter.__PinPages.First&lt;/citation.key41&gt;&lt;citation.value41&gt;155&lt;/citation.value41&gt;&lt;citation.key42&gt;Reporter.__PinPages.First._Pattern&lt;/citation.key42&gt;&lt;citation.value42&gt;FirstPageInRange.FirstPageInRange&lt;/citation.value42&gt;&lt;citation.key43&gt;Reporter.__PinPages.First.__PageNumber&lt;/citation.key43&gt;&lt;citation.value43&gt;15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25[0]" w:val="&lt;#1&gt;&lt;citation&gt;&lt;citation._original_string&gt;Shotz v City of Plantation, Fla., 344 F.3d 1161, 1167&lt;/citation._original_string&gt;&lt;citation._current_string&gt;Shotz v. City of Plantation, 344 F.3d 1161, 1167 (11th Cir. 2003)&lt;/citation._current_string&gt;&lt;citation._full_string&gt;Shotz v. City of Plantation, 344 F.3d 1161, 1167 (11th Cir. 2003)&lt;/citation._full_string&gt;&lt;citation._current_format&gt;Full.CaseCitation&lt;/citation._current_format&gt;&lt;citation.name&gt;&lt;/citation.name&gt;&lt;citation.key0&gt;,&lt;/citation.key0&gt;&lt;citation.value0&gt;,&lt;/citation.value0&gt;&lt;citation.key1&gt;CaseName.FirstParty&lt;/citation.key1&gt;&lt;citation.value1&gt;Shotz&lt;/citation.value1&gt;&lt;citation.key2&gt;CaseName.FirstParty.Party&lt;/citation.key2&gt;&lt;citation.value2&gt;Shotz&lt;/citation.value2&gt;&lt;citation.key3&gt;CaseName.FirstParty._Pattern&lt;/citation.key3&gt;&lt;citation.value3&gt;Party.Party&lt;/citation.value3&gt;&lt;citation.key4&gt;CaseName.SecondParty&lt;/citation.key4&gt;&lt;citation.value4&gt;City of Plantation&lt;/citation.value4&gt;&lt;citation.key5&gt;CaseName.SecondParty.Party&lt;/citation.key5&gt;&lt;citation.value5&gt;City of Plantation&lt;/citation.value5&gt;&lt;citation.key6&gt;CaseName.SecondParty._Pattern&lt;/citation.key6&gt;&lt;citation.value6&gt;Party.Party&lt;/citation.value6&gt;&lt;citation.key7&gt;CaseName._Pattern&lt;/citation.key7&gt;&lt;citation.value7&gt;&lt;/citation.value7&gt;&lt;citation.key8&gt;CourtParenthetical&lt;/citation.key8&gt;&lt;citation.value8&gt; (11th Cir. 2003) &lt;/citation.value8&gt;&lt;citation.key9&gt;CourtParenthetical.CourtName&lt;/citation.key9&gt;&lt;citation.value9&gt;11th Cir.&lt;/citation.value9&gt;&lt;citation.key10&gt;CourtParenthetical.CourtName.CourtName&lt;/citation.key10&gt;&lt;citation.value10&gt;11th Cir.&lt;/citation.value10&gt;&lt;citation.key11&gt;CourtParenthetical.CourtName._Pattern&lt;/citation.key11&gt;&lt;citation.value11&gt;CourtName.CourtName&lt;/citation.value11&gt;&lt;citation.key12&gt;CourtParenthetical.Date.Year&lt;/citation.key12&gt;&lt;citation.value12&gt;2003&lt;/citation.value12&gt;&lt;citation.key13&gt;CourtParenthetical.Date.Year.Year&lt;/citation.key13&gt;&lt;citation.value13&gt;2003&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_Pattern&lt;/citation.key16&gt;&lt;citation.value16&gt;CourtParenthetical.CourtParenthetical&lt;/citation.value16&gt;&lt;citation.key17&gt;HAS_AUTHORITATIVE_DATA&lt;/citation.key17&gt;&lt;citation.value17&gt;YES&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344 F.3d 1161, 1167&lt;/citation.value23&gt;&lt;citation.key24&gt;Reporter.FirstPage&lt;/citation.key24&gt;&lt;citation.value24&gt;1161&lt;/citation.value24&gt;&lt;citation.key25&gt;Reporter.Name&lt;/citation.key25&gt;&lt;citation.value25&gt;F.3d&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344&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1167&lt;/citation.value33&gt;&lt;citation.key34&gt;Reporter.__PinPages.First&lt;/citation.key34&gt;&lt;citation.value34&gt;1167&lt;/citation.value34&gt;&lt;citation.key35&gt;Reporter.__PinPages.First._Pattern&lt;/citation.key35&gt;&lt;citation.value35&gt;FirstPageInRange.FirstPageInRange&lt;/citation.value35&gt;&lt;citation.key36&gt;Reporter.__PinPages.First.__PageNumber&lt;/citation.key36&gt;&lt;citation.value36&gt;1167&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upra&lt;/citation.key41&gt;&lt;citation.value41&gt;&lt;/citation.value41&gt;&lt;citation.key42&gt;supra.,&lt;/citation.key42&gt;&lt;citation.value42&gt;, &lt;/citation.value42&gt;&lt;citation.key43&gt;supra._Pattern&lt;/citation.key43&gt;&lt;citation.value43&gt;ShortCaseSupra.ShortCaseSupra&lt;/citation.value43&gt;&lt;citation.key44&gt;supra.supra&lt;/citation.key44&gt;&lt;citation.value44&gt;supra&lt;/citation.value44&gt;&lt;/citation&gt;_x000a_"/>
    <w:docVar w:name="CITRUS_BOOKMARK26[0]" w:val="&lt;#1&gt;&lt;citation&gt;&lt;citation._original_string&gt;See, e.g., Burroughs v. Metro-Goldwyn-Mayer, Inc., 683 F.2d 610 (2d Cir. 1981)&lt;/citation._original_string&gt;&lt;citation._current_string&gt;See, e.g., Burroughs v. Metro-Goldwyn-Mayer, Inc., 683 F.2d 610 (2d Cir. 1982)&lt;/citation._current_string&gt;&lt;citation._full_string&gt;see , e.g., Burroughs v. Metro-Goldwyn-Mayer, Inc., 683 F.2d 610 (2d Cir. 1982)&lt;/citation._full_string&gt;&lt;citation._current_format&gt;Full.CaseCitation&lt;/citation._current_format&gt;&lt;citation.name&gt;&lt;/citation.name&gt;&lt;citation.key0&gt;,&lt;/citation.key0&gt;&lt;citation.value0&gt;,&lt;/citation.value0&gt;&lt;citation.key1&gt;CaseName.FirstParty&lt;/citation.key1&gt;&lt;citation.value1&gt;Burroughs&lt;/citation.value1&gt;&lt;citation.key2&gt;CaseName.FirstParty.Party&lt;/citation.key2&gt;&lt;citation.value2&gt;Burroughs&lt;/citation.value2&gt;&lt;citation.key3&gt;CaseName.FirstParty._Pattern&lt;/citation.key3&gt;&lt;citation.value3&gt;Party.Party&lt;/citation.value3&gt;&lt;citation.key4&gt;CaseName.SecondParty&lt;/citation.key4&gt;&lt;citation.value4&gt;Metro-Goldwyn-Mayer, Inc.&lt;/citation.value4&gt;&lt;citation.key5&gt;CaseName.SecondParty.Party&lt;/citation.key5&gt;&lt;citation.value5&gt;Metro-Goldwyn-Mayer,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1982) &lt;/citation.value8&gt;&lt;citation.key9&gt;CourtParenthetical.CourtName&lt;/citation.key9&gt;&lt;citation.value9&gt;2d Cir. &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1982&lt;/citation.value12&gt;&lt;citation.key13&gt;CourtParenthetical.Date.Year.Year&lt;/citation.key13&gt;&lt;citation.value13&gt;1982&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683 F.2d 610 &lt;/citation.value30&gt;&lt;citation.key31&gt;Reporter.FirstPage&lt;/citation.key31&gt;&lt;citation.value31&gt;610&lt;/citation.value31&gt;&lt;citation.key32&gt;Reporter.Name&lt;/citation.key32&gt;&lt;citation.value32&gt;F.2d&lt;/citation.value32&gt;&lt;citation.key33&gt;Reporter.Volume&lt;/citation.key33&gt;&lt;citation.value33&gt;683&lt;/citation.value33&gt;&lt;citation.key34&gt;Reporter.[&lt;/citation.key34&gt;&lt;citation.value34&gt;[&lt;/citation.value34&gt;&lt;citation.key35&gt;Reporter.]&lt;/citation.key35&gt;&lt;citation.value35&gt;]&lt;/citation.value35&gt;&lt;citation.key36&gt;Reporter._Pattern&lt;/citation.key36&gt;&lt;citation.value36&gt;Reporter.Reporter&lt;/citation.value36&gt;&lt;citation.key37&gt;Reporter.page&lt;/citation.key37&gt;&lt;citation.value37&gt;page&lt;/citation.value37&gt;&lt;citation.key38&gt;RequiredComma&lt;/citation.key38&gt;&lt;citation.value38&gt;, &lt;/citation.value38&gt;&lt;citation.key39&gt;RequiredComma._Pattern&lt;/citation.key39&gt;&lt;citation.value39&gt;RequiredComma.RequiredComma&lt;/citation.value39&gt;&lt;citation.key40&gt;__Signal&lt;/citation.key40&gt;&lt;citation.value40&gt;see , e.g., &lt;/citation.value40&gt;&lt;citation.key41&gt;__Signal.,&lt;/citation.key41&gt;&lt;citation.value41&gt;,&lt;/citation.value41&gt;&lt;citation.key42&gt;__Signal.Eg&lt;/citation.key42&gt;&lt;citation.value42&gt;e.g.&lt;/citation.value42&gt;&lt;citation.key43&gt;__Signal.RequiredComma&lt;/citation.key43&gt;&lt;citation.value43&gt;, &lt;/citation.value43&gt;&lt;citation.key44&gt;__Signal.RequiredComma.Comma&lt;/citation.key44&gt;&lt;citation.value44&gt;,&lt;/citation.value44&gt;&lt;citation.key45&gt;__Signal.RequiredComma._Pattern&lt;/citation.key45&gt;&lt;citation.value45&gt;RequiredComma.RequiredComma&lt;/citation.value45&gt;&lt;citation.key46&gt;__Signal.See&lt;/citation.key46&gt;&lt;citation.value46&gt;see&lt;/citation.value46&gt;&lt;citation.key47&gt;__Signal._Pattern&lt;/citation.key47&gt;&lt;citation.value47&gt;Signal.Signal&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27[0]" w:val="&lt;#1&gt;&lt;citation&gt;&lt;citation._original_string&gt;Easter Seal Soc’y v. Playboy Enters., 815 F.2d 323 (5th Cir. 1987)&lt;/citation._original_string&gt;&lt;citation._current_string&gt;Easter Seal Soc. for Crippled Children &amp; Adults, Inc. v. Playboy Enters., 815 F.2d 323 (5th Cir. 1987)&lt;/citation._current_string&gt;&lt;citation._full_string&gt;Easter Seal Soc. for Crippled Children &amp; Adults, Inc. v. Playboy Enters., 815 F.2d 323 (5th Cir. 1987)&lt;/citation._full_string&gt;&lt;citation._current_format&gt;Full.CaseCitation&lt;/citation._current_format&gt;&lt;citation.name&gt;&lt;/citation.name&gt;&lt;citation.key0&gt;,&lt;/citation.key0&gt;&lt;citation.value0&gt;,&lt;/citation.value0&gt;&lt;citation.key1&gt;CaseName.FirstParty&lt;/citation.key1&gt;&lt;citation.value1&gt;Easter Seal Soc. for Crippled Children &amp; Adults, Inc.&lt;/citation.value1&gt;&lt;citation.key2&gt;CaseName.FirstParty.Party&lt;/citation.key2&gt;&lt;citation.value2&gt;Easter Seal Soc. for Crippled Children &amp; Adults, Inc.&lt;/citation.value2&gt;&lt;citation.key3&gt;CaseName.FirstParty._Pattern&lt;/citation.key3&gt;&lt;citation.value3&gt;Party.Party&lt;/citation.value3&gt;&lt;citation.key4&gt;CaseName.SecondParty&lt;/citation.key4&gt;&lt;citation.value4&gt;Playboy Enterprises&lt;/citation.value4&gt;&lt;citation.key5&gt;CaseName.SecondParty.Party&lt;/citation.key5&gt;&lt;citation.value5&gt;Playboy Enterprises&lt;/citation.value5&gt;&lt;citation.key6&gt;CaseName.SecondParty._Pattern&lt;/citation.key6&gt;&lt;citation.value6&gt;Party.Party&lt;/citation.value6&gt;&lt;citation.key7&gt;CaseName._Pattern&lt;/citation.key7&gt;&lt;citation.value7&gt;&lt;/citation.value7&gt;&lt;citation.key8&gt;CourtParenthetical&lt;/citation.key8&gt;&lt;citation.value8&gt; (5th Cir. 1987) &lt;/citation.value8&gt;&lt;citation.key9&gt;CourtParenthetical.CourtName&lt;/citation.key9&gt;&lt;citation.value9&gt;5th Cir. &lt;/citation.value9&gt;&lt;citation.key10&gt;CourtParenthetical.CourtName.CourtName&lt;/citation.key10&gt;&lt;citation.value10&gt;5th Cir.&lt;/citation.value10&gt;&lt;citation.key11&gt;CourtParenthetical.CourtName._Pattern&lt;/citation.key11&gt;&lt;citation.value11&gt;CourtName.CourtName&lt;/citation.value11&gt;&lt;citation.key12&gt;CourtParenthetical.Date.Year&lt;/citation.key12&gt;&lt;citation.value12&gt;1987&lt;/citation.value12&gt;&lt;citation.key13&gt;CourtParenthetical.Date.Year.Year&lt;/citation.key13&gt;&lt;citation.value13&gt;198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815 F.2d 323 &lt;/citation.value30&gt;&lt;citation.key31&gt;Reporter.FirstPage&lt;/citation.key31&gt;&lt;citation.value31&gt;323&lt;/citation.value31&gt;&lt;citation.key32&gt;Reporter.Name&lt;/citation.key32&gt;&lt;citation.value32&gt;F.2d&lt;/citation.value32&gt;&lt;citation.key33&gt;Reporter.Volume&lt;/citation.key33&gt;&lt;citation.value33&gt;815&lt;/citation.value33&gt;&lt;citation.key34&gt;Reporter.[&lt;/citation.key34&gt;&lt;citation.value34&gt;[&lt;/citation.value34&gt;&lt;citation.key35&gt;Reporter.]&lt;/citation.key35&gt;&lt;citation.value35&gt;]&lt;/citation.value35&gt;&lt;citation.key36&gt;Reporter._Pattern&lt;/citation.key36&gt;&lt;citation.value36&gt;Reporter.Reporter&lt;/citation.value36&gt;&lt;citation.key37&gt;Reporter.page&lt;/citation.key37&gt;&lt;citation.value37&gt;page&lt;/citation.value37&gt;&lt;citation.key38&gt;RequiredComma&lt;/citation.key38&gt;&lt;citation.value38&gt;, &lt;/citation.value38&gt;&lt;citation.key39&gt;RequiredComma._Pattern&lt;/citation.key39&gt;&lt;citation.value39&gt;RequiredComma.RequiredComma&lt;/citation.value39&gt;&lt;citation.key40&gt;supra&lt;/citation.key40&gt;&lt;citation.value40&gt;&lt;/citation.value40&gt;&lt;citation.key41&gt;supra.,&lt;/citation.key41&gt;&lt;citation.value41&gt;, &lt;/citation.value41&gt;&lt;citation.key42&gt;supra._Pattern&lt;/citation.key42&gt;&lt;citation.value42&gt;ShortCaseSupra.ShortCaseSupra&lt;/citation.value42&gt;&lt;citation.key43&gt;supra.supra&lt;/citation.key43&gt;&lt;citation.value43&gt;supra&lt;/citation.value43&gt;&lt;/citation&gt;_x000a_"/>
    <w:docVar w:name="CITRUS_BOOKMARK28[0]" w:val="&lt;#1&gt;&lt;citation&gt;&lt;citation._original_string&gt;id. at 104-105 (opposition to limiting duration of transfers)&lt;/citation._original_string&gt;&lt;citation._current_string&gt;id. at 104-05 (opposition to limiting duration of transfers)&lt;/citation._current_string&gt;&lt;citation._full_string&gt;Easter Seal Soc. for Crippled Children &amp; Adults, Inc. v. Playboy Enters., 815 F.2d 323, 104-05 (5th Cir. 1987) (opposition to limiting duration of transfers)&lt;/citation._full_string&gt;&lt;citation._current_format&gt;Id.CaseId&lt;/citation._current_format&gt;&lt;citation.name&gt;&lt;/citation.name&gt;&lt;citation.key0&gt;,&lt;/citation.key0&gt;&lt;citation.value0&gt;,&lt;/citation.value0&gt;&lt;citation.key1&gt;CaseName.FirstParty&lt;/citation.key1&gt;&lt;citation.value1&gt;Easter Seal Soc. for Crippled Children &amp; Adults, Inc.&lt;/citation.value1&gt;&lt;citation.key2&gt;CaseName.FirstParty.Party&lt;/citation.key2&gt;&lt;citation.value2&gt;Easter Seal Soc. for Crippled Children &amp; Adults, Inc.&lt;/citation.value2&gt;&lt;citation.key3&gt;CaseName.FirstParty._Pattern&lt;/citation.key3&gt;&lt;citation.value3&gt;Party.Party&lt;/citation.value3&gt;&lt;citation.key4&gt;CaseName.SecondParty&lt;/citation.key4&gt;&lt;citation.value4&gt;Playboy Enterprises&lt;/citation.value4&gt;&lt;citation.key5&gt;CaseName.SecondParty.Party&lt;/citation.key5&gt;&lt;citation.value5&gt;Playboy Enterprises&lt;/citation.value5&gt;&lt;citation.key6&gt;CaseName.SecondParty._Pattern&lt;/citation.key6&gt;&lt;citation.value6&gt;Party.Party&lt;/citation.value6&gt;&lt;citation.key7&gt;CaseName._Pattern&lt;/citation.key7&gt;&lt;citation.value7&gt;&lt;/citation.value7&gt;&lt;citation.key8&gt;CourtParenthetical&lt;/citation.key8&gt;&lt;citation.value8&gt; (5th Cir. 1987) &lt;/citation.value8&gt;&lt;citation.key9&gt;CourtParenthetical.CourtName&lt;/citation.key9&gt;&lt;citation.value9&gt;5th Cir. &lt;/citation.value9&gt;&lt;citation.key10&gt;CourtParenthetical.CourtName.CourtName&lt;/citation.key10&gt;&lt;citation.value10&gt;5th Cir.&lt;/citation.value10&gt;&lt;citation.key11&gt;CourtParenthetical.CourtName._Pattern&lt;/citation.key11&gt;&lt;citation.value11&gt;CourtName.CourtName&lt;/citation.value11&gt;&lt;citation.key12&gt;CourtParenthetical.Date.Year&lt;/citation.key12&gt;&lt;citation.value12&gt;1987&lt;/citation.value12&gt;&lt;citation.key13&gt;CourtParenthetical.Date.Year.Year&lt;/citation.key13&gt;&lt;citation.value13&gt;198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Parenthetical&lt;/citation.key31&gt;&lt;citation.value31&gt; (opposition to limiting duration of transfers) &lt;/citation.value31&gt;&lt;citation.key32&gt;Parenthetical.([&lt;/citation.key32&gt;&lt;citation.value32&gt; (&lt;/citation.value32&gt;&lt;citation.key33&gt;Parenthetical.([.(&lt;/citation.key33&gt;&lt;citation.value33&gt;(&lt;/citation.value33&gt;&lt;citation.key34&gt;Parenthetical.([._Pattern&lt;/citation.key34&gt;&lt;citation.value34&gt;([.([&lt;/citation.value34&gt;&lt;citation.key35&gt;Parenthetical.])&lt;/citation.key35&gt;&lt;citation.value35&gt;) &lt;/citation.value35&gt;&lt;citation.key36&gt;Parenthetical.]).)&lt;/citation.key36&gt;&lt;citation.value36&gt;)&lt;/citation.value36&gt;&lt;citation.key37&gt;Parenthetical.])._Pattern&lt;/citation.key37&gt;&lt;citation.value37&gt;]).])&lt;/citation.value37&gt;&lt;citation.key38&gt;Parenthetical._Pattern&lt;/citation.key38&gt;&lt;citation.value38&gt;ShortCaseParenthetical.ShortCaseParenthetical&lt;/citation.value38&gt;&lt;citation.key39&gt;Parenthetical.__OtherReasonableExplanation&lt;/citation.key39&gt;&lt;citation.value39&gt;opposition to limiting duration of transfers&lt;/citation.value39&gt;&lt;citation.key40&gt;Reporter&lt;/citation.key40&gt;&lt;citation.value40&gt;815 F.2d 323, 104-05 &lt;/citation.value40&gt;&lt;citation.key41&gt;Reporter.FirstPage&lt;/citation.key41&gt;&lt;citation.value41&gt;323&lt;/citation.value41&gt;&lt;citation.key42&gt;Reporter.Name&lt;/citation.key42&gt;&lt;citation.value42&gt;F.2d&lt;/citation.value42&gt;&lt;citation.key43&gt;Reporter.Volume&lt;/citation.key43&gt;&lt;citation.value43&gt;815&lt;/citation.value43&gt;&lt;citation.key44&gt;Reporter.[&lt;/citation.key44&gt;&lt;citation.value44&gt;[&lt;/citation.value44&gt;&lt;citation.key45&gt;Reporter.]&lt;/citation.key45&gt;&lt;citation.value45&gt;]&lt;/citation.value45&gt;&lt;citation.key46&gt;Reporter._Pattern&lt;/citation.key46&gt;&lt;citation.value46&gt;Reporter.Reporter&lt;/citation.value46&gt;&lt;citation.key47&gt;Reporter.__PinPages&lt;/citation.key47&gt;&lt;citation.value47&gt;104-05 &lt;/citation.value47&gt;&lt;citation.key48&gt;Reporter.__PinPages.First&lt;/citation.key48&gt;&lt;citation.value48&gt;104&lt;/citation.value48&gt;&lt;citation.key49&gt;Reporter.__PinPages.First._Pattern&lt;/citation.key49&gt;&lt;citation.value49&gt;FirstPageInRange.FirstPageInRange&lt;/citation.value49&gt;&lt;citation.key50&gt;Reporter.__PinPages.First.__PageNumber&lt;/citation.key50&gt;&lt;citation.value50&gt;104&lt;/citation.value50&gt;&lt;citation.key51&gt;Reporter.__PinPages.Last&lt;/citation.key51&gt;&lt;citation.value51&gt;05 &lt;/citation.value51&gt;&lt;citation.key52&gt;Reporter.__PinPages.Last.PageNumber&lt;/citation.key52&gt;&lt;citation.value52&gt;05&lt;/citation.value52&gt;&lt;citation.key53&gt;Reporter.__PinPages.Last.PageNumber_Full&lt;/citation.key53&gt;&lt;citation.value53&gt;105&lt;/citation.value53&gt;&lt;citation.key54&gt;Reporter.__PinPages.Last._Pattern&lt;/citation.key54&gt;&lt;citation.value54&gt;LastPageNumber.LastPageNumber&lt;/citation.value54&gt;&lt;citation.key55&gt;Reporter.__PinPages.RangeDash&lt;/citation.key55&gt;&lt;citation.value55&gt;-&lt;/citation.value55&gt;&lt;citation.key56&gt;Reporter.__PinPages._Pattern&lt;/citation.key56&gt;&lt;citation.value56&gt;PinPages.PinPages&lt;/citation.value56&gt;&lt;citation.key57&gt;Reporter.at&lt;/citation.key57&gt;&lt;citation.value57&gt;at&lt;/citation.value57&gt;&lt;citation.key58&gt;Reporter.page&lt;/citation.key58&gt;&lt;citation.value58&gt;pages&lt;/citation.value58&gt;&lt;citation.key59&gt;RequiredComma&lt;/citation.key59&gt;&lt;citation.value59&gt;, &lt;/citation.value59&gt;&lt;citation.key60&gt;RequiredComma._Pattern&lt;/citation.key60&gt;&lt;citation.value60&gt;RequiredComma.RequiredComma&lt;/citation.value60&gt;&lt;citation.key61&gt;supra&lt;/citation.key61&gt;&lt;citation.value61&gt;&lt;/citation.value61&gt;&lt;citation.key62&gt;supra.,&lt;/citation.key62&gt;&lt;citation.value62&gt;, &lt;/citation.value62&gt;&lt;citation.key63&gt;supra._Pattern&lt;/citation.key63&gt;&lt;citation.value63&gt;ShortCaseSupra.ShortCaseSupra&lt;/citation.value63&gt;&lt;citation.key64&gt;supra.supra&lt;/citation.key64&gt;&lt;citation.value64&gt;supra&lt;/citation.value64&gt;&lt;/citation&gt;_x000a_"/>
    <w:docVar w:name="CITRUS_BOOKMARK29[0]" w:val="&lt;#1&gt;&lt;citation&gt;&lt;citation._original_string&gt;id. at 153-160 (opposition to excluding commissioned works from works made for hire)&lt;/citation._original_string&gt;&lt;citation._current_string&gt;id. at 153-60 (opposition to excluding commissioned works from works made for hire)&lt;/citation._current_string&gt;&lt;citation._full_string&gt;Easter Seal Soc. for Crippled Children &amp; Adults, Inc. v. Playboy Enters., 815 F.2d 323, 153-60 (5th Cir. 1987) (opposition to excluding commissioned works from works made for hire)&lt;/citation._full_string&gt;&lt;citation._current_format&gt;Id.CaseId&lt;/citation._current_format&gt;&lt;citation.name&gt;&lt;/citation.name&gt;&lt;citation.key0&gt;,&lt;/citation.key0&gt;&lt;citation.value0&gt;,&lt;/citation.value0&gt;&lt;citation.key1&gt;CaseName.FirstParty&lt;/citation.key1&gt;&lt;citation.value1&gt;Easter Seal Soc. for Crippled Children &amp; Adults, Inc.&lt;/citation.value1&gt;&lt;citation.key2&gt;CaseName.FirstParty.Party&lt;/citation.key2&gt;&lt;citation.value2&gt;Easter Seal Soc. for Crippled Children &amp; Adults, Inc.&lt;/citation.value2&gt;&lt;citation.key3&gt;CaseName.FirstParty._Pattern&lt;/citation.key3&gt;&lt;citation.value3&gt;Party.Party&lt;/citation.value3&gt;&lt;citation.key4&gt;CaseName.SecondParty&lt;/citation.key4&gt;&lt;citation.value4&gt;Playboy Enterprises&lt;/citation.value4&gt;&lt;citation.key5&gt;CaseName.SecondParty.Party&lt;/citation.key5&gt;&lt;citation.value5&gt;Playboy Enterprises&lt;/citation.value5&gt;&lt;citation.key6&gt;CaseName.SecondParty._Pattern&lt;/citation.key6&gt;&lt;citation.value6&gt;Party.Party&lt;/citation.value6&gt;&lt;citation.key7&gt;CaseName._Pattern&lt;/citation.key7&gt;&lt;citation.value7&gt;&lt;/citation.value7&gt;&lt;citation.key8&gt;CourtParenthetical&lt;/citation.key8&gt;&lt;citation.value8&gt; (5th Cir. 1987) &lt;/citation.value8&gt;&lt;citation.key9&gt;CourtParenthetical.CourtName&lt;/citation.key9&gt;&lt;citation.value9&gt;5th Cir. &lt;/citation.value9&gt;&lt;citation.key10&gt;CourtParenthetical.CourtName.CourtName&lt;/citation.key10&gt;&lt;citation.value10&gt;5th Cir.&lt;/citation.value10&gt;&lt;citation.key11&gt;CourtParenthetical.CourtName._Pattern&lt;/citation.key11&gt;&lt;citation.value11&gt;CourtName.CourtName&lt;/citation.value11&gt;&lt;citation.key12&gt;CourtParenthetical.Date.Year&lt;/citation.key12&gt;&lt;citation.value12&gt;1987&lt;/citation.value12&gt;&lt;citation.key13&gt;CourtParenthetical.Date.Year.Year&lt;/citation.key13&gt;&lt;citation.value13&gt;198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Parenthetical&lt;/citation.key31&gt;&lt;citation.value31&gt; (opposition to excluding commissioned works from works made for hire) &lt;/citation.value31&gt;&lt;citation.key32&gt;Parenthetical.([&lt;/citation.key32&gt;&lt;citation.value32&gt; (&lt;/citation.value32&gt;&lt;citation.key33&gt;Parenthetical.([.(&lt;/citation.key33&gt;&lt;citation.value33&gt;(&lt;/citation.value33&gt;&lt;citation.key34&gt;Parenthetical.([._Pattern&lt;/citation.key34&gt;&lt;citation.value34&gt;([.([&lt;/citation.value34&gt;&lt;citation.key35&gt;Parenthetical.])&lt;/citation.key35&gt;&lt;citation.value35&gt;) &lt;/citation.value35&gt;&lt;citation.key36&gt;Parenthetical.]).)&lt;/citation.key36&gt;&lt;citation.value36&gt;)&lt;/citation.value36&gt;&lt;citation.key37&gt;Parenthetical.])._Pattern&lt;/citation.key37&gt;&lt;citation.value37&gt;]).])&lt;/citation.value37&gt;&lt;citation.key38&gt;Parenthetical._Pattern&lt;/citation.key38&gt;&lt;citation.value38&gt;ShortCaseParenthetical.ShortCaseParenthetical&lt;/citation.value38&gt;&lt;citation.key39&gt;Parenthetical.__OtherReasonableExplanation&lt;/citation.key39&gt;&lt;citation.value39&gt;opposition to excluding commissioned works from works made for hire&lt;/citation.value39&gt;&lt;citation.key40&gt;Reporter&lt;/citation.key40&gt;&lt;citation.value40&gt;815 F.2d 323, 153-60 &lt;/citation.value40&gt;&lt;citation.key41&gt;Reporter.FirstPage&lt;/citation.key41&gt;&lt;citation.value41&gt;323&lt;/citation.value41&gt;&lt;citation.key42&gt;Reporter.Name&lt;/citation.key42&gt;&lt;citation.value42&gt;F.2d&lt;/citation.value42&gt;&lt;citation.key43&gt;Reporter.Volume&lt;/citation.key43&gt;&lt;citation.value43&gt;815&lt;/citation.value43&gt;&lt;citation.key44&gt;Reporter.[&lt;/citation.key44&gt;&lt;citation.value44&gt;[&lt;/citation.value44&gt;&lt;citation.key45&gt;Reporter.]&lt;/citation.key45&gt;&lt;citation.value45&gt;]&lt;/citation.value45&gt;&lt;citation.key46&gt;Reporter._Pattern&lt;/citation.key46&gt;&lt;citation.value46&gt;Reporter.Reporter&lt;/citation.value46&gt;&lt;citation.key47&gt;Reporter.__PinPages&lt;/citation.key47&gt;&lt;citation.value47&gt;153-60 &lt;/citation.value47&gt;&lt;citation.key48&gt;Reporter.__PinPages.First&lt;/citation.key48&gt;&lt;citation.value48&gt;153&lt;/citation.value48&gt;&lt;citation.key49&gt;Reporter.__PinPages.First._Pattern&lt;/citation.key49&gt;&lt;citation.value49&gt;FirstPageInRange.FirstPageInRange&lt;/citation.value49&gt;&lt;citation.key50&gt;Reporter.__PinPages.First.__PageNumber&lt;/citation.key50&gt;&lt;citation.value50&gt;153&lt;/citation.value50&gt;&lt;citation.key51&gt;Reporter.__PinPages.Last&lt;/citation.key51&gt;&lt;citation.value51&gt;60 &lt;/citation.value51&gt;&lt;citation.key52&gt;Reporter.__PinPages.Last.PageNumber&lt;/citation.key52&gt;&lt;citation.value52&gt;60&lt;/citation.value52&gt;&lt;citation.key53&gt;Reporter.__PinPages.Last.PageNumber_Full&lt;/citation.key53&gt;&lt;citation.value53&gt;160&lt;/citation.value53&gt;&lt;citation.key54&gt;Reporter.__PinPages.Last._Pattern&lt;/citation.key54&gt;&lt;citation.value54&gt;LastPageNumber.LastPageNumber&lt;/citation.value54&gt;&lt;citation.key55&gt;Reporter.__PinPages.RangeDash&lt;/citation.key55&gt;&lt;citation.value55&gt;-&lt;/citation.value55&gt;&lt;citation.key56&gt;Reporter.__PinPages._Pattern&lt;/citation.key56&gt;&lt;citation.value56&gt;PinPages.PinPages&lt;/citation.value56&gt;&lt;citation.key57&gt;Reporter.at&lt;/citation.key57&gt;&lt;citation.value57&gt;at&lt;/citation.value57&gt;&lt;citation.key58&gt;Reporter.page&lt;/citation.key58&gt;&lt;citation.value58&gt;pages&lt;/citation.value58&gt;&lt;citation.key59&gt;RequiredComma&lt;/citation.key59&gt;&lt;citation.value59&gt;, &lt;/citation.value59&gt;&lt;citation.key60&gt;RequiredComma._Pattern&lt;/citation.key60&gt;&lt;citation.value60&gt;RequiredComma.RequiredComma&lt;/citation.value60&gt;&lt;citation.key61&gt;supra&lt;/citation.key61&gt;&lt;citation.value61&gt;&lt;/citation.value61&gt;&lt;citation.key62&gt;supra.,&lt;/citation.key62&gt;&lt;citation.value62&gt;, &lt;/citation.value62&gt;&lt;citation.key63&gt;supra._Pattern&lt;/citation.key63&gt;&lt;citation.value63&gt;ShortCaseSupra.ShortCaseSupra&lt;/citation.value63&gt;&lt;citation.key64&gt;supra.supra&lt;/citation.key64&gt;&lt;citation.value64&gt;supra&lt;/citation.value64&gt;&lt;/citation&gt;_x000a_"/>
    <w:docVar w:name="CITRUS_BOOKMARK3[0]" w:val="&lt;#1&gt;&lt;citation&gt;&lt;citation._original_string&gt;§ 101&lt;/citation._original_string&gt;&lt;citation._current_string&gt;17 U.S.C. § 101&lt;/citation._current_string&gt;&lt;citation._full_string&gt;17 U.S.C. §101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30[0]" w:val="&lt;#1&gt;&lt;citation&gt;&lt;citation._original_string&gt;id. at 257-75 (argument over revised definition of works made for hire)&lt;/citation._original_string&gt;&lt;citation._current_string&gt;id. at 257-75 (argument over revised definition of works made for hire)&lt;/citation._current_string&gt;&lt;citation._full_string&gt;Easter Seal Soc. for Crippled Children &amp; Adults, Inc. v. Playboy Enters., 815 F.2d 323, 257-75 (5th Cir. 1987) (argument over revised definition of works made for hire)&lt;/citation._full_string&gt;&lt;citation._current_format&gt;Id.CaseId&lt;/citation._current_format&gt;&lt;citation.name&gt;&lt;/citation.name&gt;&lt;citation.key0&gt;,&lt;/citation.key0&gt;&lt;citation.value0&gt;,&lt;/citation.value0&gt;&lt;citation.key1&gt;CaseName.FirstParty&lt;/citation.key1&gt;&lt;citation.value1&gt;Easter Seal Soc. for Crippled Children &amp; Adults, Inc.&lt;/citation.value1&gt;&lt;citation.key2&gt;CaseName.FirstParty.Party&lt;/citation.key2&gt;&lt;citation.value2&gt;Easter Seal Soc. for Crippled Children &amp; Adults, Inc.&lt;/citation.value2&gt;&lt;citation.key3&gt;CaseName.FirstParty._Pattern&lt;/citation.key3&gt;&lt;citation.value3&gt;Party.Party&lt;/citation.value3&gt;&lt;citation.key4&gt;CaseName.SecondParty&lt;/citation.key4&gt;&lt;citation.value4&gt;Playboy Enterprises&lt;/citation.value4&gt;&lt;citation.key5&gt;CaseName.SecondParty.Party&lt;/citation.key5&gt;&lt;citation.value5&gt;Playboy Enterprises&lt;/citation.value5&gt;&lt;citation.key6&gt;CaseName.SecondParty._Pattern&lt;/citation.key6&gt;&lt;citation.value6&gt;Party.Party&lt;/citation.value6&gt;&lt;citation.key7&gt;CaseName._Pattern&lt;/citation.key7&gt;&lt;citation.value7&gt;&lt;/citation.value7&gt;&lt;citation.key8&gt;CourtParenthetical&lt;/citation.key8&gt;&lt;citation.value8&gt; (5th Cir. 1987) &lt;/citation.value8&gt;&lt;citation.key9&gt;CourtParenthetical.CourtName&lt;/citation.key9&gt;&lt;citation.value9&gt;5th Cir. &lt;/citation.value9&gt;&lt;citation.key10&gt;CourtParenthetical.CourtName.CourtName&lt;/citation.key10&gt;&lt;citation.value10&gt;5th Cir.&lt;/citation.value10&gt;&lt;citation.key11&gt;CourtParenthetical.CourtName._Pattern&lt;/citation.key11&gt;&lt;citation.value11&gt;CourtName.CourtName&lt;/citation.value11&gt;&lt;citation.key12&gt;CourtParenthetical.Date.Year&lt;/citation.key12&gt;&lt;citation.value12&gt;1987&lt;/citation.value12&gt;&lt;citation.key13&gt;CourtParenthetical.Date.Year.Year&lt;/citation.key13&gt;&lt;citation.value13&gt;198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Parenthetical&lt;/citation.key31&gt;&lt;citation.value31&gt; (argument over revised definition of works made for hire) &lt;/citation.value31&gt;&lt;citation.key32&gt;Parenthetical.([&lt;/citation.key32&gt;&lt;citation.value32&gt; (&lt;/citation.value32&gt;&lt;citation.key33&gt;Parenthetical.([.(&lt;/citation.key33&gt;&lt;citation.value33&gt;(&lt;/citation.value33&gt;&lt;citation.key34&gt;Parenthetical.([._Pattern&lt;/citation.key34&gt;&lt;citation.value34&gt;([.([&lt;/citation.value34&gt;&lt;citation.key35&gt;Parenthetical.])&lt;/citation.key35&gt;&lt;citation.value35&gt;) &lt;/citation.value35&gt;&lt;citation.key36&gt;Parenthetical.]).)&lt;/citation.key36&gt;&lt;citation.value36&gt;)&lt;/citation.value36&gt;&lt;citation.key37&gt;Parenthetical.])._Pattern&lt;/citation.key37&gt;&lt;citation.value37&gt;]).])&lt;/citation.value37&gt;&lt;citation.key38&gt;Parenthetical._Pattern&lt;/citation.key38&gt;&lt;citation.value38&gt;ShortCaseParenthetical.ShortCaseParenthetical&lt;/citation.value38&gt;&lt;citation.key39&gt;Parenthetical.__OtherReasonableExplanation&lt;/citation.key39&gt;&lt;citation.value39&gt;argument over revised definition of works made for hire&lt;/citation.value39&gt;&lt;citation.key40&gt;Reporter&lt;/citation.key40&gt;&lt;citation.value40&gt;815 F.2d 323, 257-75 &lt;/citation.value40&gt;&lt;citation.key41&gt;Reporter.FirstPage&lt;/citation.key41&gt;&lt;citation.value41&gt;323&lt;/citation.value41&gt;&lt;citation.key42&gt;Reporter.Name&lt;/citation.key42&gt;&lt;citation.value42&gt;F.2d&lt;/citation.value42&gt;&lt;citation.key43&gt;Reporter.Volume&lt;/citation.key43&gt;&lt;citation.value43&gt;815&lt;/citation.value43&gt;&lt;citation.key44&gt;Reporter.[&lt;/citation.key44&gt;&lt;citation.value44&gt;[&lt;/citation.value44&gt;&lt;citation.key45&gt;Reporter.]&lt;/citation.key45&gt;&lt;citation.value45&gt;]&lt;/citation.value45&gt;&lt;citation.key46&gt;Reporter._Pattern&lt;/citation.key46&gt;&lt;citation.value46&gt;Reporter.Reporter&lt;/citation.value46&gt;&lt;citation.key47&gt;Reporter.__PinPages&lt;/citation.key47&gt;&lt;citation.value47&gt;257-75 &lt;/citation.value47&gt;&lt;citation.key48&gt;Reporter.__PinPages.First&lt;/citation.key48&gt;&lt;citation.value48&gt;257&lt;/citation.value48&gt;&lt;citation.key49&gt;Reporter.__PinPages.First._Pattern&lt;/citation.key49&gt;&lt;citation.value49&gt;FirstPageInRange.FirstPageInRange&lt;/citation.value49&gt;&lt;citation.key50&gt;Reporter.__PinPages.First.__PageNumber&lt;/citation.key50&gt;&lt;citation.value50&gt;257&lt;/citation.value50&gt;&lt;citation.key51&gt;Reporter.__PinPages.Last&lt;/citation.key51&gt;&lt;citation.value51&gt;75 &lt;/citation.value51&gt;&lt;citation.key52&gt;Reporter.__PinPages.Last.PageNumber&lt;/citation.key52&gt;&lt;citation.value52&gt;75&lt;/citation.value52&gt;&lt;citation.key53&gt;Reporter.__PinPages.Last.PageNumber_Full&lt;/citation.key53&gt;&lt;citation.value53&gt;275&lt;/citation.value53&gt;&lt;citation.key54&gt;Reporter.__PinPages.Last._Pattern&lt;/citation.key54&gt;&lt;citation.value54&gt;LastPageNumber.LastPageNumber&lt;/citation.value54&gt;&lt;citation.key55&gt;Reporter.__PinPages.RangeDash&lt;/citation.key55&gt;&lt;citation.value55&gt;-&lt;/citation.value55&gt;&lt;citation.key56&gt;Reporter.__PinPages._Pattern&lt;/citation.key56&gt;&lt;citation.value56&gt;PinPages.PinPages&lt;/citation.value56&gt;&lt;citation.key57&gt;Reporter.at&lt;/citation.key57&gt;&lt;citation.value57&gt;at&lt;/citation.value57&gt;&lt;citation.key58&gt;Reporter.page&lt;/citation.key58&gt;&lt;citation.value58&gt;pages&lt;/citation.value58&gt;&lt;citation.key59&gt;RequiredComma&lt;/citation.key59&gt;&lt;citation.value59&gt;, &lt;/citation.value59&gt;&lt;citation.key60&gt;RequiredComma._Pattern&lt;/citation.key60&gt;&lt;citation.value60&gt;RequiredComma.RequiredComma&lt;/citation.value60&gt;&lt;citation.key61&gt;supra&lt;/citation.key61&gt;&lt;citation.value61&gt;&lt;/citation.value61&gt;&lt;citation.key62&gt;supra.,&lt;/citation.key62&gt;&lt;citation.value62&gt;, &lt;/citation.value62&gt;&lt;citation.key63&gt;supra._Pattern&lt;/citation.key63&gt;&lt;citation.value63&gt;ShortCaseSupra.ShortCaseSupra&lt;/citation.value63&gt;&lt;citation.key64&gt;supra.supra&lt;/citation.key64&gt;&lt;citation.value64&gt;supra&lt;/citation.value64&gt;&lt;/citation&gt;_x000a_"/>
    <w:docVar w:name="CITRUS_BOOKMARK31[0]" w:val="&lt;#1&gt;&lt;citation&gt;&lt;citation._original_string&gt;id. at 278-92 (opposition to reversion)&lt;/citation._original_string&gt;&lt;citation._current_string&gt;id. at 278-92 (opposition to reversion)&lt;/citation._current_string&gt;&lt;citation._full_string&gt;Easter Seal Soc. for Crippled Children &amp; Adults, Inc. v. Playboy Enters., 815 F.2d 323, 278-92 (5th Cir. 1987) (opposition to reversion)&lt;/citation._full_string&gt;&lt;citation._current_format&gt;Id.CaseId&lt;/citation._current_format&gt;&lt;citation.name&gt;&lt;/citation.name&gt;&lt;citation.key0&gt;,&lt;/citation.key0&gt;&lt;citation.value0&gt;,&lt;/citation.value0&gt;&lt;citation.key1&gt;CaseName.FirstParty&lt;/citation.key1&gt;&lt;citation.value1&gt;Easter Seal Soc. for Crippled Children &amp; Adults, Inc.&lt;/citation.value1&gt;&lt;citation.key2&gt;CaseName.FirstParty.Party&lt;/citation.key2&gt;&lt;citation.value2&gt;Easter Seal Soc. for Crippled Children &amp; Adults, Inc.&lt;/citation.value2&gt;&lt;citation.key3&gt;CaseName.FirstParty._Pattern&lt;/citation.key3&gt;&lt;citation.value3&gt;Party.Party&lt;/citation.value3&gt;&lt;citation.key4&gt;CaseName.SecondParty&lt;/citation.key4&gt;&lt;citation.value4&gt;Playboy Enterprises&lt;/citation.value4&gt;&lt;citation.key5&gt;CaseName.SecondParty.Party&lt;/citation.key5&gt;&lt;citation.value5&gt;Playboy Enterprises&lt;/citation.value5&gt;&lt;citation.key6&gt;CaseName.SecondParty._Pattern&lt;/citation.key6&gt;&lt;citation.value6&gt;Party.Party&lt;/citation.value6&gt;&lt;citation.key7&gt;CaseName._Pattern&lt;/citation.key7&gt;&lt;citation.value7&gt;&lt;/citation.value7&gt;&lt;citation.key8&gt;CourtParenthetical&lt;/citation.key8&gt;&lt;citation.value8&gt; (5th Cir. 1987) &lt;/citation.value8&gt;&lt;citation.key9&gt;CourtParenthetical.CourtName&lt;/citation.key9&gt;&lt;citation.value9&gt;5th Cir. &lt;/citation.value9&gt;&lt;citation.key10&gt;CourtParenthetical.CourtName.CourtName&lt;/citation.key10&gt;&lt;citation.value10&gt;5th Cir.&lt;/citation.value10&gt;&lt;citation.key11&gt;CourtParenthetical.CourtName._Pattern&lt;/citation.key11&gt;&lt;citation.value11&gt;CourtName.CourtName&lt;/citation.value11&gt;&lt;citation.key12&gt;CourtParenthetical.Date.Year&lt;/citation.key12&gt;&lt;citation.value12&gt;1987&lt;/citation.value12&gt;&lt;citation.key13&gt;CourtParenthetical.Date.Year.Year&lt;/citation.key13&gt;&lt;citation.value13&gt;198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Parenthetical&lt;/citation.key31&gt;&lt;citation.value31&gt; (opposition to reversion) &lt;/citation.value31&gt;&lt;citation.key32&gt;Parenthetical.([&lt;/citation.key32&gt;&lt;citation.value32&gt; (&lt;/citation.value32&gt;&lt;citation.key33&gt;Parenthetical.([.(&lt;/citation.key33&gt;&lt;citation.value33&gt;(&lt;/citation.value33&gt;&lt;citation.key34&gt;Parenthetical.([._Pattern&lt;/citation.key34&gt;&lt;citation.value34&gt;([.([&lt;/citation.value34&gt;&lt;citation.key35&gt;Parenthetical.])&lt;/citation.key35&gt;&lt;citation.value35&gt;) &lt;/citation.value35&gt;&lt;citation.key36&gt;Parenthetical.]).)&lt;/citation.key36&gt;&lt;citation.value36&gt;)&lt;/citation.value36&gt;&lt;citation.key37&gt;Parenthetical.])._Pattern&lt;/citation.key37&gt;&lt;citation.value37&gt;]).])&lt;/citation.value37&gt;&lt;citation.key38&gt;Parenthetical._Pattern&lt;/citation.key38&gt;&lt;citation.value38&gt;ShortCaseParenthetical.ShortCaseParenthetical&lt;/citation.value38&gt;&lt;citation.key39&gt;Parenthetical.__OtherReasonableExplanation&lt;/citation.key39&gt;&lt;citation.value39&gt;opposition to reversion&lt;/citation.value39&gt;&lt;citation.key40&gt;Reporter&lt;/citation.key40&gt;&lt;citation.value40&gt;815 F.2d 323, 278-92 &lt;/citation.value40&gt;&lt;citation.key41&gt;Reporter.FirstPage&lt;/citation.key41&gt;&lt;citation.value41&gt;323&lt;/citation.value41&gt;&lt;citation.key42&gt;Reporter.Name&lt;/citation.key42&gt;&lt;citation.value42&gt;F.2d&lt;/citation.value42&gt;&lt;citation.key43&gt;Reporter.Volume&lt;/citation.key43&gt;&lt;citation.value43&gt;815&lt;/citation.value43&gt;&lt;citation.key44&gt;Reporter.[&lt;/citation.key44&gt;&lt;citation.value44&gt;[&lt;/citation.value44&gt;&lt;citation.key45&gt;Reporter.]&lt;/citation.key45&gt;&lt;citation.value45&gt;]&lt;/citation.value45&gt;&lt;citation.key46&gt;Reporter._Pattern&lt;/citation.key46&gt;&lt;citation.value46&gt;Reporter.Reporter&lt;/citation.value46&gt;&lt;citation.key47&gt;Reporter.__PinPages&lt;/citation.key47&gt;&lt;citation.value47&gt;278-92 &lt;/citation.value47&gt;&lt;citation.key48&gt;Reporter.__PinPages.First&lt;/citation.key48&gt;&lt;citation.value48&gt;278&lt;/citation.value48&gt;&lt;citation.key49&gt;Reporter.__PinPages.First._Pattern&lt;/citation.key49&gt;&lt;citation.value49&gt;FirstPageInRange.FirstPageInRange&lt;/citation.value49&gt;&lt;citation.key50&gt;Reporter.__PinPages.First.__PageNumber&lt;/citation.key50&gt;&lt;citation.value50&gt;278&lt;/citation.value50&gt;&lt;citation.key51&gt;Reporter.__PinPages.Last&lt;/citation.key51&gt;&lt;citation.value51&gt;92 &lt;/citation.value51&gt;&lt;citation.key52&gt;Reporter.__PinPages.Last.PageNumber&lt;/citation.key52&gt;&lt;citation.value52&gt;92&lt;/citation.value52&gt;&lt;citation.key53&gt;Reporter.__PinPages.Last.PageNumber_Full&lt;/citation.key53&gt;&lt;citation.value53&gt;292&lt;/citation.value53&gt;&lt;citation.key54&gt;Reporter.__PinPages.Last._Pattern&lt;/citation.key54&gt;&lt;citation.value54&gt;LastPageNumber.LastPageNumber&lt;/citation.value54&gt;&lt;citation.key55&gt;Reporter.__PinPages.RangeDash&lt;/citation.key55&gt;&lt;citation.value55&gt;-&lt;/citation.value55&gt;&lt;citation.key56&gt;Reporter.__PinPages._Pattern&lt;/citation.key56&gt;&lt;citation.value56&gt;PinPages.PinPages&lt;/citation.value56&gt;&lt;citation.key57&gt;Reporter.at&lt;/citation.key57&gt;&lt;citation.value57&gt;at&lt;/citation.value57&gt;&lt;citation.key58&gt;Reporter.page&lt;/citation.key58&gt;&lt;citation.value58&gt;pages&lt;/citation.value58&gt;&lt;citation.key59&gt;RequiredComma&lt;/citation.key59&gt;&lt;citation.value59&gt;, &lt;/citation.value59&gt;&lt;citation.key60&gt;RequiredComma._Pattern&lt;/citation.key60&gt;&lt;citation.value60&gt;RequiredComma.RequiredComma&lt;/citation.value60&gt;&lt;citation.key61&gt;supra&lt;/citation.key61&gt;&lt;citation.value61&gt;&lt;/citation.value61&gt;&lt;citation.key62&gt;supra.,&lt;/citation.key62&gt;&lt;citation.value62&gt;, &lt;/citation.value62&gt;&lt;citation.key63&gt;supra._Pattern&lt;/citation.key63&gt;&lt;citation.value63&gt;ShortCaseSupra.ShortCaseSupra&lt;/citation.value63&gt;&lt;citation.key64&gt;supra.supra&lt;/citation.key64&gt;&lt;citation.value64&gt;supra&lt;/citation.value64&gt;&lt;/citation&gt;_x000a_"/>
    <w:docVar w:name="CITRUS_BOOKMARK32[0]" w:val="&lt;#1&gt;&lt;citation&gt;&lt;citation._original_string&gt;id. at 248-50 (written comments of American Book Publishers Council on reversion, duration, and works made for hire)&lt;/citation._original_string&gt;&lt;citation._current_string&gt;id. at 248-50 (written comments of American Book Publishers Council on reversion, duration, and works made for hire)&lt;/citation._current_string&gt;&lt;citation._full_string&gt;Easter Seal Soc. for Crippled Children &amp; Adults, Inc. v. Playboy Enters., 815 F.2d 323, 248-50 (5th Cir. 1987) (written comments of American Book Publishers Council on reversion, duration, and works made for hire)&lt;/citation._full_string&gt;&lt;citation._current_format&gt;Id.CaseId&lt;/citation._current_format&gt;&lt;citation.name&gt;&lt;/citation.name&gt;&lt;citation.key0&gt;,&lt;/citation.key0&gt;&lt;citation.value0&gt;,&lt;/citation.value0&gt;&lt;citation.key1&gt;CaseName.FirstParty&lt;/citation.key1&gt;&lt;citation.value1&gt;Easter Seal Soc. for Crippled Children &amp; Adults, Inc.&lt;/citation.value1&gt;&lt;citation.key2&gt;CaseName.FirstParty.Party&lt;/citation.key2&gt;&lt;citation.value2&gt;Easter Seal Soc. for Crippled Children &amp; Adults, Inc.&lt;/citation.value2&gt;&lt;citation.key3&gt;CaseName.FirstParty._Pattern&lt;/citation.key3&gt;&lt;citation.value3&gt;Party.Party&lt;/citation.value3&gt;&lt;citation.key4&gt;CaseName.SecondParty&lt;/citation.key4&gt;&lt;citation.value4&gt;Playboy Enterprises&lt;/citation.value4&gt;&lt;citation.key5&gt;CaseName.SecondParty.Party&lt;/citation.key5&gt;&lt;citation.value5&gt;Playboy Enterprises&lt;/citation.value5&gt;&lt;citation.key6&gt;CaseName.SecondParty._Pattern&lt;/citation.key6&gt;&lt;citation.value6&gt;Party.Party&lt;/citation.value6&gt;&lt;citation.key7&gt;CaseName._Pattern&lt;/citation.key7&gt;&lt;citation.value7&gt;&lt;/citation.value7&gt;&lt;citation.key8&gt;CourtParenthetical&lt;/citation.key8&gt;&lt;citation.value8&gt; (5th Cir. 1987) &lt;/citation.value8&gt;&lt;citation.key9&gt;CourtParenthetical.CourtName&lt;/citation.key9&gt;&lt;citation.value9&gt;5th Cir. &lt;/citation.value9&gt;&lt;citation.key10&gt;CourtParenthetical.CourtName.CourtName&lt;/citation.key10&gt;&lt;citation.value10&gt;5th Cir.&lt;/citation.value10&gt;&lt;citation.key11&gt;CourtParenthetical.CourtName._Pattern&lt;/citation.key11&gt;&lt;citation.value11&gt;CourtName.CourtName&lt;/citation.value11&gt;&lt;citation.key12&gt;CourtParenthetical.Date.Year&lt;/citation.key12&gt;&lt;citation.value12&gt;1987&lt;/citation.value12&gt;&lt;citation.key13&gt;CourtParenthetical.Date.Year.Year&lt;/citation.key13&gt;&lt;citation.value13&gt;198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Parenthetical&lt;/citation.key31&gt;&lt;citation.value31&gt; (written comments of American Book Publishers Council on reversion, duration, and works made for hire) &lt;/citation.value31&gt;&lt;citation.key32&gt;Parenthetical.([&lt;/citation.key32&gt;&lt;citation.value32&gt; (&lt;/citation.value32&gt;&lt;citation.key33&gt;Parenthetical.([.(&lt;/citation.key33&gt;&lt;citation.value33&gt;(&lt;/citation.value33&gt;&lt;citation.key34&gt;Parenthetical.([._Pattern&lt;/citation.key34&gt;&lt;citation.value34&gt;([.([&lt;/citation.value34&gt;&lt;citation.key35&gt;Parenthetical.])&lt;/citation.key35&gt;&lt;citation.value35&gt;) &lt;/citation.value35&gt;&lt;citation.key36&gt;Parenthetical.]).)&lt;/citation.key36&gt;&lt;citation.value36&gt;)&lt;/citation.value36&gt;&lt;citation.key37&gt;Parenthetical.])._Pattern&lt;/citation.key37&gt;&lt;citation.value37&gt;]).])&lt;/citation.value37&gt;&lt;citation.key38&gt;Parenthetical._Pattern&lt;/citation.key38&gt;&lt;citation.value38&gt;ShortCaseParenthetical.ShortCaseParenthetical&lt;/citation.value38&gt;&lt;citation.key39&gt;Parenthetical.__OtherReasonableExplanation&lt;/citation.key39&gt;&lt;citation.value39&gt;written comments of American Book Publishers Council on reversion, duration, and works made for hire&lt;/citation.value39&gt;&lt;citation.key40&gt;Reporter&lt;/citation.key40&gt;&lt;citation.value40&gt;815 F.2d 323, 248-50 &lt;/citation.value40&gt;&lt;citation.key41&gt;Reporter.FirstPage&lt;/citation.key41&gt;&lt;citation.value41&gt;323&lt;/citation.value41&gt;&lt;citation.key42&gt;Reporter.Name&lt;/citation.key42&gt;&lt;citation.value42&gt;F.2d&lt;/citation.value42&gt;&lt;citation.key43&gt;Reporter.Volume&lt;/citation.key43&gt;&lt;citation.value43&gt;815&lt;/citation.value43&gt;&lt;citation.key44&gt;Reporter.[&lt;/citation.key44&gt;&lt;citation.value44&gt;[&lt;/citation.value44&gt;&lt;citation.key45&gt;Reporter.]&lt;/citation.key45&gt;&lt;citation.value45&gt;]&lt;/citation.value45&gt;&lt;citation.key46&gt;Reporter._Pattern&lt;/citation.key46&gt;&lt;citation.value46&gt;Reporter.Reporter&lt;/citation.value46&gt;&lt;citation.key47&gt;Reporter.__PinPages&lt;/citation.key47&gt;&lt;citation.value47&gt;248-50 &lt;/citation.value47&gt;&lt;citation.key48&gt;Reporter.__PinPages.First&lt;/citation.key48&gt;&lt;citation.value48&gt;248&lt;/citation.value48&gt;&lt;citation.key49&gt;Reporter.__PinPages.First._Pattern&lt;/citation.key49&gt;&lt;citation.value49&gt;FirstPageInRange.FirstPageInRange&lt;/citation.value49&gt;&lt;citation.key50&gt;Reporter.__PinPages.First.__PageNumber&lt;/citation.key50&gt;&lt;citation.value50&gt;248&lt;/citation.value50&gt;&lt;citation.key51&gt;Reporter.__PinPages.Last&lt;/citation.key51&gt;&lt;citation.value51&gt;50 &lt;/citation.value51&gt;&lt;citation.key52&gt;Reporter.__PinPages.Last.PageNumber&lt;/citation.key52&gt;&lt;citation.value52&gt;50&lt;/citation.value52&gt;&lt;citation.key53&gt;Reporter.__PinPages.Last.PageNumber_Full&lt;/citation.key53&gt;&lt;citation.value53&gt;250&lt;/citation.value53&gt;&lt;citation.key54&gt;Reporter.__PinPages.Last._Pattern&lt;/citation.key54&gt;&lt;citation.value54&gt;LastPageNumber.LastPageNumber&lt;/citation.value54&gt;&lt;citation.key55&gt;Reporter.__PinPages.RangeDash&lt;/citation.key55&gt;&lt;citation.value55&gt;-&lt;/citation.value55&gt;&lt;citation.key56&gt;Reporter.__PinPages._Pattern&lt;/citation.key56&gt;&lt;citation.value56&gt;PinPages.PinPages&lt;/citation.value56&gt;&lt;citation.key57&gt;Reporter.at&lt;/citation.key57&gt;&lt;citation.value57&gt;at&lt;/citation.value57&gt;&lt;citation.key58&gt;Reporter.page&lt;/citation.key58&gt;&lt;citation.value58&gt;pages&lt;/citation.value58&gt;&lt;citation.key59&gt;RequiredComma&lt;/citation.key59&gt;&lt;citation.value59&gt;, &lt;/citation.value59&gt;&lt;citation.key60&gt;RequiredComma._Pattern&lt;/citation.key60&gt;&lt;citation.value60&gt;RequiredComma.RequiredComma&lt;/citation.value60&gt;&lt;citation.key61&gt;supra&lt;/citation.key61&gt;&lt;citation.value61&gt;&lt;/citation.value61&gt;&lt;citation.key62&gt;supra.,&lt;/citation.key62&gt;&lt;citation.value62&gt;, &lt;/citation.value62&gt;&lt;citation.key63&gt;supra._Pattern&lt;/citation.key63&gt;&lt;citation.value63&gt;ShortCaseSupra.ShortCaseSupra&lt;/citation.value63&gt;&lt;citation.key64&gt;supra.supra&lt;/citation.key64&gt;&lt;citation.value64&gt;supra&lt;/citation.value64&gt;&lt;/citation&gt;_x000a_"/>
    <w:docVar w:name="CITRUS_BOOKMARK33[0]" w:val="&lt;#1&gt;&lt;citation&gt;&lt;citation._original_string&gt;id. at 313-314 (written comments of Authors League of America on works made for hire)&lt;/citation._original_string&gt;&lt;citation._current_string&gt;id. at 313-14 (written comments of Authors League of America on works made for hire)&lt;/citation._current_string&gt;&lt;citation._full_string&gt;Easter Seal Soc. for Crippled Children &amp; Adults, Inc. v. Playboy Enters., 815 F.2d 323, 313-14 (5th Cir. 1987) (written comments of Authors League of America on works made for hire)&lt;/citation._full_string&gt;&lt;citation._current_format&gt;Id.CaseId&lt;/citation._current_format&gt;&lt;citation.name&gt;&lt;/citation.name&gt;&lt;citation.key0&gt;,&lt;/citation.key0&gt;&lt;citation.value0&gt;,&lt;/citation.value0&gt;&lt;citation.key1&gt;CaseName.FirstParty&lt;/citation.key1&gt;&lt;citation.value1&gt;Easter Seal Soc. for Crippled Children &amp; Adults, Inc.&lt;/citation.value1&gt;&lt;citation.key2&gt;CaseName.FirstParty.Party&lt;/citation.key2&gt;&lt;citation.value2&gt;Easter Seal Soc. for Crippled Children &amp; Adults, Inc.&lt;/citation.value2&gt;&lt;citation.key3&gt;CaseName.FirstParty._Pattern&lt;/citation.key3&gt;&lt;citation.value3&gt;Party.Party&lt;/citation.value3&gt;&lt;citation.key4&gt;CaseName.SecondParty&lt;/citation.key4&gt;&lt;citation.value4&gt;Playboy Enterprises&lt;/citation.value4&gt;&lt;citation.key5&gt;CaseName.SecondParty.Party&lt;/citation.key5&gt;&lt;citation.value5&gt;Playboy Enterprises&lt;/citation.value5&gt;&lt;citation.key6&gt;CaseName.SecondParty._Pattern&lt;/citation.key6&gt;&lt;citation.value6&gt;Party.Party&lt;/citation.value6&gt;&lt;citation.key7&gt;CaseName._Pattern&lt;/citation.key7&gt;&lt;citation.value7&gt;&lt;/citation.value7&gt;&lt;citation.key8&gt;CourtParenthetical&lt;/citation.key8&gt;&lt;citation.value8&gt; (5th Cir. 1987) &lt;/citation.value8&gt;&lt;citation.key9&gt;CourtParenthetical.CourtName&lt;/citation.key9&gt;&lt;citation.value9&gt;5th Cir. &lt;/citation.value9&gt;&lt;citation.key10&gt;CourtParenthetical.CourtName.CourtName&lt;/citation.key10&gt;&lt;citation.value10&gt;5th Cir.&lt;/citation.value10&gt;&lt;citation.key11&gt;CourtParenthetical.CourtName._Pattern&lt;/citation.key11&gt;&lt;citation.value11&gt;CourtName.CourtName&lt;/citation.value11&gt;&lt;citation.key12&gt;CourtParenthetical.Date.Year&lt;/citation.key12&gt;&lt;citation.value12&gt;1987&lt;/citation.value12&gt;&lt;citation.key13&gt;CourtParenthetical.Date.Year.Year&lt;/citation.key13&gt;&lt;citation.value13&gt;198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Parenthetical&lt;/citation.key31&gt;&lt;citation.value31&gt; (written comments of Authors League of America on works made for hire) &lt;/citation.value31&gt;&lt;citation.key32&gt;Parenthetical.([&lt;/citation.key32&gt;&lt;citation.value32&gt; (&lt;/citation.value32&gt;&lt;citation.key33&gt;Parenthetical.([.(&lt;/citation.key33&gt;&lt;citation.value33&gt;(&lt;/citation.value33&gt;&lt;citation.key34&gt;Parenthetical.([._Pattern&lt;/citation.key34&gt;&lt;citation.value34&gt;([.([&lt;/citation.value34&gt;&lt;citation.key35&gt;Parenthetical.])&lt;/citation.key35&gt;&lt;citation.value35&gt;) &lt;/citation.value35&gt;&lt;citation.key36&gt;Parenthetical.]).)&lt;/citation.key36&gt;&lt;citation.value36&gt;)&lt;/citation.value36&gt;&lt;citation.key37&gt;Parenthetical.])._Pattern&lt;/citation.key37&gt;&lt;citation.value37&gt;]).])&lt;/citation.value37&gt;&lt;citation.key38&gt;Parenthetical._Pattern&lt;/citation.key38&gt;&lt;citation.value38&gt;ShortCaseParenthetical.ShortCaseParenthetical&lt;/citation.value38&gt;&lt;citation.key39&gt;Parenthetical.__OtherReasonableExplanation&lt;/citation.key39&gt;&lt;citation.value39&gt;written comments of Authors League of America on works made for hire&lt;/citation.value39&gt;&lt;citation.key40&gt;Reporter&lt;/citation.key40&gt;&lt;citation.value40&gt;815 F.2d 323, 313-14 &lt;/citation.value40&gt;&lt;citation.key41&gt;Reporter.FirstPage&lt;/citation.key41&gt;&lt;citation.value41&gt;323&lt;/citation.value41&gt;&lt;citation.key42&gt;Reporter.Name&lt;/citation.key42&gt;&lt;citation.value42&gt;F.2d&lt;/citation.value42&gt;&lt;citation.key43&gt;Reporter.Volume&lt;/citation.key43&gt;&lt;citation.value43&gt;815&lt;/citation.value43&gt;&lt;citation.key44&gt;Reporter.[&lt;/citation.key44&gt;&lt;citation.value44&gt;[&lt;/citation.value44&gt;&lt;citation.key45&gt;Reporter.]&lt;/citation.key45&gt;&lt;citation.value45&gt;]&lt;/citation.value45&gt;&lt;citation.key46&gt;Reporter._Pattern&lt;/citation.key46&gt;&lt;citation.value46&gt;Reporter.Reporter&lt;/citation.value46&gt;&lt;citation.key47&gt;Reporter.__PinPages&lt;/citation.key47&gt;&lt;citation.value47&gt;313-14 &lt;/citation.value47&gt;&lt;citation.key48&gt;Reporter.__PinPages.First&lt;/citation.key48&gt;&lt;citation.value48&gt;313&lt;/citation.value48&gt;&lt;citation.key49&gt;Reporter.__PinPages.First._Pattern&lt;/citation.key49&gt;&lt;citation.value49&gt;FirstPageInRange.FirstPageInRange&lt;/citation.value49&gt;&lt;citation.key50&gt;Reporter.__PinPages.First.__PageNumber&lt;/citation.key50&gt;&lt;citation.value50&gt;313&lt;/citation.value50&gt;&lt;citation.key51&gt;Reporter.__PinPages.Last&lt;/citation.key51&gt;&lt;citation.value51&gt;14 &lt;/citation.value51&gt;&lt;citation.key52&gt;Reporter.__PinPages.Last.PageNumber&lt;/citation.key52&gt;&lt;citation.value52&gt;14&lt;/citation.value52&gt;&lt;citation.key53&gt;Reporter.__PinPages.Last.PageNumber_Full&lt;/citation.key53&gt;&lt;citation.value53&gt;314&lt;/citation.value53&gt;&lt;citation.key54&gt;Reporter.__PinPages.Last._Pattern&lt;/citation.key54&gt;&lt;citation.value54&gt;LastPageNumber.LastPageNumber&lt;/citation.value54&gt;&lt;citation.key55&gt;Reporter.__PinPages.RangeDash&lt;/citation.key55&gt;&lt;citation.value55&gt;-&lt;/citation.value55&gt;&lt;citation.key56&gt;Reporter.__PinPages._Pattern&lt;/citation.key56&gt;&lt;citation.value56&gt;PinPages.PinPages&lt;/citation.value56&gt;&lt;citation.key57&gt;Reporter.at&lt;/citation.key57&gt;&lt;citation.value57&gt;at&lt;/citation.value57&gt;&lt;citation.key58&gt;Reporter.page&lt;/citation.key58&gt;&lt;citation.value58&gt;pages&lt;/citation.value58&gt;&lt;citation.key59&gt;RequiredComma&lt;/citation.key59&gt;&lt;citation.value59&gt;, &lt;/citation.value59&gt;&lt;citation.key60&gt;RequiredComma._Pattern&lt;/citation.key60&gt;&lt;citation.value60&gt;RequiredComma.RequiredComma&lt;/citation.value60&gt;&lt;citation.key61&gt;supra&lt;/citation.key61&gt;&lt;citation.value61&gt;&lt;/citation.value61&gt;&lt;citation.key62&gt;supra.,&lt;/citation.key62&gt;&lt;citation.value62&gt;, &lt;/citation.value62&gt;&lt;citation.key63&gt;supra._Pattern&lt;/citation.key63&gt;&lt;citation.value63&gt;ShortCaseSupra.ShortCaseSupra&lt;/citation.value63&gt;&lt;citation.key64&gt;supra.supra&lt;/citation.key64&gt;&lt;citation.value64&gt;supra&lt;/citation.value64&gt;&lt;/citation&gt;_x000a_"/>
    <w:docVar w:name="CITRUS_BOOKMARK34[0]" w:val="&lt;#1&gt;&lt;citation&gt;&lt;citation._original_string&gt;id. at 146-150 (opposition to new, revised definition of works made for hire)&lt;/citation._original_string&gt;&lt;citation._current_string&gt;id. at 146-50 (opposition to new, revised definition of works made for hire)&lt;/citation._current_string&gt;&lt;citation._full_string&gt;Easter Seal Soc. for Crippled Children &amp; Adults, Inc. v. Playboy Enters., 815 F.2d 323, 146-50 (5th Cir. 1987) (opposition to new, revised definition of works made for hire)&lt;/citation._full_string&gt;&lt;citation._current_format&gt;Id.CaseId&lt;/citation._current_format&gt;&lt;citation.name&gt;&lt;/citation.name&gt;&lt;citation.key0&gt;,&lt;/citation.key0&gt;&lt;citation.value0&gt;,&lt;/citation.value0&gt;&lt;citation.key1&gt;CaseName.FirstParty&lt;/citation.key1&gt;&lt;citation.value1&gt;Easter Seal Soc. for Crippled Children &amp; Adults, Inc.&lt;/citation.value1&gt;&lt;citation.key2&gt;CaseName.FirstParty.Party&lt;/citation.key2&gt;&lt;citation.value2&gt;Easter Seal Soc. for Crippled Children &amp; Adults, Inc.&lt;/citation.value2&gt;&lt;citation.key3&gt;CaseName.FirstParty._Pattern&lt;/citation.key3&gt;&lt;citation.value3&gt;Party.Party&lt;/citation.value3&gt;&lt;citation.key4&gt;CaseName.SecondParty&lt;/citation.key4&gt;&lt;citation.value4&gt;Playboy Enterprises&lt;/citation.value4&gt;&lt;citation.key5&gt;CaseName.SecondParty.Party&lt;/citation.key5&gt;&lt;citation.value5&gt;Playboy Enterprises&lt;/citation.value5&gt;&lt;citation.key6&gt;CaseName.SecondParty._Pattern&lt;/citation.key6&gt;&lt;citation.value6&gt;Party.Party&lt;/citation.value6&gt;&lt;citation.key7&gt;CaseName._Pattern&lt;/citation.key7&gt;&lt;citation.value7&gt;&lt;/citation.value7&gt;&lt;citation.key8&gt;CourtParenthetical&lt;/citation.key8&gt;&lt;citation.value8&gt; (5th Cir. 1987) &lt;/citation.value8&gt;&lt;citation.key9&gt;CourtParenthetical.CourtName&lt;/citation.key9&gt;&lt;citation.value9&gt;5th Cir. &lt;/citation.value9&gt;&lt;citation.key10&gt;CourtParenthetical.CourtName.CourtName&lt;/citation.key10&gt;&lt;citation.value10&gt;5th Cir.&lt;/citation.value10&gt;&lt;citation.key11&gt;CourtParenthetical.CourtName._Pattern&lt;/citation.key11&gt;&lt;citation.value11&gt;CourtName.CourtName&lt;/citation.value11&gt;&lt;citation.key12&gt;CourtParenthetical.Date.Year&lt;/citation.key12&gt;&lt;citation.value12&gt;1987&lt;/citation.value12&gt;&lt;citation.key13&gt;CourtParenthetical.Date.Year.Year&lt;/citation.key13&gt;&lt;citation.value13&gt;198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Parenthetical&lt;/citation.key31&gt;&lt;citation.value31&gt; (opposition to new, revised definition of works made for hire) &lt;/citation.value31&gt;&lt;citation.key32&gt;Parenthetical.([&lt;/citation.key32&gt;&lt;citation.value32&gt; (&lt;/citation.value32&gt;&lt;citation.key33&gt;Parenthetical.([.(&lt;/citation.key33&gt;&lt;citation.value33&gt;(&lt;/citation.value33&gt;&lt;citation.key34&gt;Parenthetical.([._Pattern&lt;/citation.key34&gt;&lt;citation.value34&gt;([.([&lt;/citation.value34&gt;&lt;citation.key35&gt;Parenthetical.])&lt;/citation.key35&gt;&lt;citation.value35&gt;) &lt;/citation.value35&gt;&lt;citation.key36&gt;Parenthetical.]).)&lt;/citation.key36&gt;&lt;citation.value36&gt;)&lt;/citation.value36&gt;&lt;citation.key37&gt;Parenthetical.])._Pattern&lt;/citation.key37&gt;&lt;citation.value37&gt;]).])&lt;/citation.value37&gt;&lt;citation.key38&gt;Parenthetical._Pattern&lt;/citation.key38&gt;&lt;citation.value38&gt;ShortCaseParenthetical.ShortCaseParenthetical&lt;/citation.value38&gt;&lt;citation.key39&gt;Parenthetical.__OtherReasonableExplanation&lt;/citation.key39&gt;&lt;citation.value39&gt;opposition to new, revised definition of works made for hire&lt;/citation.value39&gt;&lt;citation.key40&gt;Reporter&lt;/citation.key40&gt;&lt;citation.value40&gt;815 F.2d 323, 146-50 &lt;/citation.value40&gt;&lt;citation.key41&gt;Reporter.FirstPage&lt;/citation.key41&gt;&lt;citation.value41&gt;323&lt;/citation.value41&gt;&lt;citation.key42&gt;Reporter.Name&lt;/citation.key42&gt;&lt;citation.value42&gt;F.2d&lt;/citation.value42&gt;&lt;citation.key43&gt;Reporter.Volume&lt;/citation.key43&gt;&lt;citation.value43&gt;815&lt;/citation.value43&gt;&lt;citation.key44&gt;Reporter.[&lt;/citation.key44&gt;&lt;citation.value44&gt;[&lt;/citation.value44&gt;&lt;citation.key45&gt;Reporter.]&lt;/citation.key45&gt;&lt;citation.value45&gt;]&lt;/citation.value45&gt;&lt;citation.key46&gt;Reporter._Pattern&lt;/citation.key46&gt;&lt;citation.value46&gt;Reporter.Reporter&lt;/citation.value46&gt;&lt;citation.key47&gt;Reporter.__PinPages&lt;/citation.key47&gt;&lt;citation.value47&gt;146-50 &lt;/citation.value47&gt;&lt;citation.key48&gt;Reporter.__PinPages.First&lt;/citation.key48&gt;&lt;citation.value48&gt;146&lt;/citation.value48&gt;&lt;citation.key49&gt;Reporter.__PinPages.First._Pattern&lt;/citation.key49&gt;&lt;citation.value49&gt;FirstPageInRange.FirstPageInRange&lt;/citation.value49&gt;&lt;citation.key50&gt;Reporter.__PinPages.First.__PageNumber&lt;/citation.key50&gt;&lt;citation.value50&gt;146&lt;/citation.value50&gt;&lt;citation.key51&gt;Reporter.__PinPages.Last&lt;/citation.key51&gt;&lt;citation.value51&gt;50 &lt;/citation.value51&gt;&lt;citation.key52&gt;Reporter.__PinPages.Last.PageNumber&lt;/citation.key52&gt;&lt;citation.value52&gt;50&lt;/citation.value52&gt;&lt;citation.key53&gt;Reporter.__PinPages.Last.PageNumber_Full&lt;/citation.key53&gt;&lt;citation.value53&gt;150&lt;/citation.value53&gt;&lt;citation.key54&gt;Reporter.__PinPages.Last._Pattern&lt;/citation.key54&gt;&lt;citation.value54&gt;LastPageNumber.LastPageNumber&lt;/citation.value54&gt;&lt;citation.key55&gt;Reporter.__PinPages.RangeDash&lt;/citation.key55&gt;&lt;citation.value55&gt;-&lt;/citation.value55&gt;&lt;citation.key56&gt;Reporter.__PinPages._Pattern&lt;/citation.key56&gt;&lt;citation.value56&gt;PinPages.PinPages&lt;/citation.value56&gt;&lt;citation.key57&gt;Reporter.at&lt;/citation.key57&gt;&lt;citation.value57&gt;at&lt;/citation.value57&gt;&lt;citation.key58&gt;Reporter.page&lt;/citation.key58&gt;&lt;citation.value58&gt;pages&lt;/citation.value58&gt;&lt;citation.key59&gt;RequiredComma&lt;/citation.key59&gt;&lt;citation.value59&gt;, &lt;/citation.value59&gt;&lt;citation.key60&gt;RequiredComma._Pattern&lt;/citation.key60&gt;&lt;citation.value60&gt;RequiredComma.RequiredComma&lt;/citation.value60&gt;&lt;citation.key61&gt;supra&lt;/citation.key61&gt;&lt;citation.value61&gt;&lt;/citation.value61&gt;&lt;citation.key62&gt;supra.,&lt;/citation.key62&gt;&lt;citation.value62&gt;, &lt;/citation.value62&gt;&lt;citation.key63&gt;supra._Pattern&lt;/citation.key63&gt;&lt;citation.value63&gt;ShortCaseSupra.ShortCaseSupra&lt;/citation.value63&gt;&lt;citation.key64&gt;supra.supra&lt;/citation.key64&gt;&lt;citation.value64&gt;supra&lt;/citation.value64&gt;&lt;/citation&gt;_x000a_"/>
    <w:docVar w:name="CITRUS_BOOKMARK35[0]" w:val="&lt;#1&gt;&lt;citation&gt;&lt;citation._original_string&gt;id. at 154-65 (opposition to new, revised, reversion provision)&lt;/citation._original_string&gt;&lt;citation._current_string&gt;id. at 154-65 (opposition to new, revised, reversion provision)&lt;/citation._current_string&gt;&lt;citation._full_string&gt;Easter Seal Soc. for Crippled Children &amp; Adults, Inc. v. Playboy Enters., 815 F.2d 323, 154-65 (5th Cir. 1987) (opposition to new, revised, reversion provision)&lt;/citation._full_string&gt;&lt;citation._current_format&gt;Id.CaseId&lt;/citation._current_format&gt;&lt;citation.name&gt;&lt;/citation.name&gt;&lt;citation.key0&gt;,&lt;/citation.key0&gt;&lt;citation.value0&gt;,&lt;/citation.value0&gt;&lt;citation.key1&gt;CaseName.FirstParty&lt;/citation.key1&gt;&lt;citation.value1&gt;Easter Seal Soc. for Crippled Children &amp; Adults, Inc.&lt;/citation.value1&gt;&lt;citation.key2&gt;CaseName.FirstParty.Party&lt;/citation.key2&gt;&lt;citation.value2&gt;Easter Seal Soc. for Crippled Children &amp; Adults, Inc.&lt;/citation.value2&gt;&lt;citation.key3&gt;CaseName.FirstParty._Pattern&lt;/citation.key3&gt;&lt;citation.value3&gt;Party.Party&lt;/citation.value3&gt;&lt;citation.key4&gt;CaseName.SecondParty&lt;/citation.key4&gt;&lt;citation.value4&gt;Playboy Enterprises&lt;/citation.value4&gt;&lt;citation.key5&gt;CaseName.SecondParty.Party&lt;/citation.key5&gt;&lt;citation.value5&gt;Playboy Enterprises&lt;/citation.value5&gt;&lt;citation.key6&gt;CaseName.SecondParty._Pattern&lt;/citation.key6&gt;&lt;citation.value6&gt;Party.Party&lt;/citation.value6&gt;&lt;citation.key7&gt;CaseName._Pattern&lt;/citation.key7&gt;&lt;citation.value7&gt;&lt;/citation.value7&gt;&lt;citation.key8&gt;CourtParenthetical&lt;/citation.key8&gt;&lt;citation.value8&gt; (5th Cir. 1987) &lt;/citation.value8&gt;&lt;citation.key9&gt;CourtParenthetical.CourtName&lt;/citation.key9&gt;&lt;citation.value9&gt;5th Cir. &lt;/citation.value9&gt;&lt;citation.key10&gt;CourtParenthetical.CourtName.CourtName&lt;/citation.key10&gt;&lt;citation.value10&gt;5th Cir.&lt;/citation.value10&gt;&lt;citation.key11&gt;CourtParenthetical.CourtName._Pattern&lt;/citation.key11&gt;&lt;citation.value11&gt;CourtName.CourtName&lt;/citation.value11&gt;&lt;citation.key12&gt;CourtParenthetical.Date.Year&lt;/citation.key12&gt;&lt;citation.value12&gt;1987&lt;/citation.value12&gt;&lt;citation.key13&gt;CourtParenthetical.Date.Year.Year&lt;/citation.key13&gt;&lt;citation.value13&gt;1987&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Parenthetical&lt;/citation.key31&gt;&lt;citation.value31&gt; (opposition to new, revised, reversion provision) &lt;/citation.value31&gt;&lt;citation.key32&gt;Parenthetical.([&lt;/citation.key32&gt;&lt;citation.value32&gt; (&lt;/citation.value32&gt;&lt;citation.key33&gt;Parenthetical.([.(&lt;/citation.key33&gt;&lt;citation.value33&gt;(&lt;/citation.value33&gt;&lt;citation.key34&gt;Parenthetical.([._Pattern&lt;/citation.key34&gt;&lt;citation.value34&gt;([.([&lt;/citation.value34&gt;&lt;citation.key35&gt;Parenthetical.])&lt;/citation.key35&gt;&lt;citation.value35&gt;) &lt;/citation.value35&gt;&lt;citation.key36&gt;Parenthetical.]).)&lt;/citation.key36&gt;&lt;citation.value36&gt;)&lt;/citation.value36&gt;&lt;citation.key37&gt;Parenthetical.])._Pattern&lt;/citation.key37&gt;&lt;citation.value37&gt;]).])&lt;/citation.value37&gt;&lt;citation.key38&gt;Parenthetical._Pattern&lt;/citation.key38&gt;&lt;citation.value38&gt;ShortCaseParenthetical.ShortCaseParenthetical&lt;/citation.value38&gt;&lt;citation.key39&gt;Parenthetical.__OtherReasonableExplanation&lt;/citation.key39&gt;&lt;citation.value39&gt;opposition to new, revised, reversion provision&lt;/citation.value39&gt;&lt;citation.key40&gt;Reporter&lt;/citation.key40&gt;&lt;citation.value40&gt;815 F.2d 323, 154-65 &lt;/citation.value40&gt;&lt;citation.key41&gt;Reporter.FirstPage&lt;/citation.key41&gt;&lt;citation.value41&gt;323&lt;/citation.value41&gt;&lt;citation.key42&gt;Reporter.Name&lt;/citation.key42&gt;&lt;citation.value42&gt;F.2d&lt;/citation.value42&gt;&lt;citation.key43&gt;Reporter.Volume&lt;/citation.key43&gt;&lt;citation.value43&gt;815&lt;/citation.value43&gt;&lt;citation.key44&gt;Reporter.[&lt;/citation.key44&gt;&lt;citation.value44&gt;[&lt;/citation.value44&gt;&lt;citation.key45&gt;Reporter.]&lt;/citation.key45&gt;&lt;citation.value45&gt;]&lt;/citation.value45&gt;&lt;citation.key46&gt;Reporter._Pattern&lt;/citation.key46&gt;&lt;citation.value46&gt;Reporter.Reporter&lt;/citation.value46&gt;&lt;citation.key47&gt;Reporter.__PinPages&lt;/citation.key47&gt;&lt;citation.value47&gt;154-65 &lt;/citation.value47&gt;&lt;citation.key48&gt;Reporter.__PinPages.First&lt;/citation.key48&gt;&lt;citation.value48&gt;154&lt;/citation.value48&gt;&lt;citation.key49&gt;Reporter.__PinPages.First._Pattern&lt;/citation.key49&gt;&lt;citation.value49&gt;FirstPageInRange.FirstPageInRange&lt;/citation.value49&gt;&lt;citation.key50&gt;Reporter.__PinPages.First.__PageNumber&lt;/citation.key50&gt;&lt;citation.value50&gt;154&lt;/citation.value50&gt;&lt;citation.key51&gt;Reporter.__PinPages.Last&lt;/citation.key51&gt;&lt;citation.value51&gt;65 &lt;/citation.value51&gt;&lt;citation.key52&gt;Reporter.__PinPages.Last.PageNumber&lt;/citation.key52&gt;&lt;citation.value52&gt;65&lt;/citation.value52&gt;&lt;citation.key53&gt;Reporter.__PinPages.Last.PageNumber_Full&lt;/citation.key53&gt;&lt;citation.value53&gt;165&lt;/citation.value53&gt;&lt;citation.key54&gt;Reporter.__PinPages.Last._Pattern&lt;/citation.key54&gt;&lt;citation.value54&gt;LastPageNumber.LastPageNumber&lt;/citation.value54&gt;&lt;citation.key55&gt;Reporter.__PinPages.RangeDash&lt;/citation.key55&gt;&lt;citation.value55&gt;-&lt;/citation.value55&gt;&lt;citation.key56&gt;Reporter.__PinPages._Pattern&lt;/citation.key56&gt;&lt;citation.value56&gt;PinPages.PinPages&lt;/citation.value56&gt;&lt;citation.key57&gt;Reporter.at&lt;/citation.key57&gt;&lt;citation.value57&gt;at&lt;/citation.value57&gt;&lt;citation.key58&gt;Reporter.page&lt;/citation.key58&gt;&lt;citation.value58&gt;pages&lt;/citation.value58&gt;&lt;citation.key59&gt;RequiredComma&lt;/citation.key59&gt;&lt;citation.value59&gt;, &lt;/citation.value59&gt;&lt;citation.key60&gt;RequiredComma._Pattern&lt;/citation.key60&gt;&lt;citation.value60&gt;RequiredComma.RequiredComma&lt;/citation.value60&gt;&lt;citation.key61&gt;supra&lt;/citation.key61&gt;&lt;citation.value61&gt;&lt;/citation.value61&gt;&lt;citation.key62&gt;supra.,&lt;/citation.key62&gt;&lt;citation.value62&gt;, &lt;/citation.value62&gt;&lt;citation.key63&gt;supra._Pattern&lt;/citation.key63&gt;&lt;citation.value63&gt;ShortCaseSupra.ShortCaseSupra&lt;/citation.value63&gt;&lt;citation.key64&gt;supra.supra&lt;/citation.key64&gt;&lt;citation.value64&gt;supra&lt;/citation.value64&gt;&lt;/citation&gt;_x000a_"/>
    <w:docVar w:name="CITRUS_BOOKMARK38[0]" w:val="&lt;#1&gt;&lt;citation&gt;&lt;citation._original_string&gt;TMTV Corp. v. Mass Productions, Inc., 2011, 645 F.3d 464, 99 U.S.P.Q.2d 1032&lt;/citation._original_string&gt;&lt;citation._current_string&gt;TMTV, Corp. v. Mass Prods., 645 F.3d 464, 99 U.S.P.Q.2d (BNA) ¶ 1032 (1st Cir. 2011)&lt;/citation._current_string&gt;&lt;citation._full_string&gt;TMTV, Corp. v. Mass Prods., 645 F.3d 464, 99 U.S.P.Q.2d (BNA) ¶1032 (1st Cir. 2011)&lt;/citation._full_string&gt;&lt;citation._current_format&gt;Full.CaseCitation&lt;/citation._current_format&gt;&lt;citation.name&gt;&lt;/citation.name&gt;&lt;citation.key0&gt;,&lt;/citation.key0&gt;&lt;citation.value0&gt;,&lt;/citation.value0&gt;&lt;citation.key1&gt;CaseName.FirstParty&lt;/citation.key1&gt;&lt;citation.value1&gt;TMTV, Corp.&lt;/citation.value1&gt;&lt;citation.key2&gt;CaseName.FirstParty.Party&lt;/citation.key2&gt;&lt;citation.value2&gt;TMTV, Corp.&lt;/citation.value2&gt;&lt;citation.key3&gt;CaseName.FirstParty._Pattern&lt;/citation.key3&gt;&lt;citation.value3&gt;Party.Party&lt;/citation.value3&gt;&lt;citation.key4&gt;CaseName.SecondParty&lt;/citation.key4&gt;&lt;citation.value4&gt;Mass Prods.&lt;/citation.value4&gt;&lt;citation.key5&gt;CaseName.SecondParty.Party&lt;/citation.key5&gt;&lt;citation.value5&gt;Mass Prods.&lt;/citation.value5&gt;&lt;citation.key6&gt;CaseName.SecondParty._Pattern&lt;/citation.key6&gt;&lt;citation.value6&gt;Party.Party&lt;/citation.value6&gt;&lt;citation.key7&gt;CaseName._Pattern&lt;/citation.key7&gt;&lt;citation.value7&gt;&lt;/citation.value7&gt;&lt;citation.key8&gt;CourtParenthetical&lt;/citation.key8&gt;&lt;citation.value8&gt; (1st Cir. 2011) &lt;/citation.value8&gt;&lt;citation.key9&gt;CourtParenthetical.CourtName&lt;/citation.key9&gt;&lt;citation.value9&gt;1st Cir. P.R.&lt;/citation.value9&gt;&lt;citation.key10&gt;CourtParenthetical.CourtName.CourtName&lt;/citation.key10&gt;&lt;citation.value10&gt;1st Cir.&lt;/citation.value10&gt;&lt;citation.key11&gt;CourtParenthetical.CourtName._Pattern&lt;/citation.key11&gt;&lt;citation.value11&gt;CourtName.CourtName&lt;/citation.value11&gt;&lt;citation.key12&gt;CourtParenthetical.Date.Year&lt;/citation.key12&gt;&lt;citation.value12&gt;2011&lt;/citation.value12&gt;&lt;citation.key13&gt;CourtParenthetical.Date.Year.Year&lt;/citation.key13&gt;&lt;citation.value13&gt;2011&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_Pattern&lt;/citation.key16&gt;&lt;citation.value16&gt;CourtParenthetical.CourtParenthetical&lt;/citation.value16&gt;&lt;citation.key17&gt;HAS_AUTHORITATIVE_DATA&lt;/citation.key17&gt;&lt;citation.value17&gt;YES&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LooseleafCase&lt;/citation.key21&gt;&lt;citation.value21&gt;99 U.S.P.Q.2d (BNA) ¶1032 &lt;/citation.value21&gt;&lt;citation.key22&gt;LooseleafCase.FirstPage&lt;/citation.key22&gt;&lt;citation.value22&gt;1032&lt;/citation.value22&gt;&lt;citation.key23&gt;LooseleafCase.LooseleafServiceName&lt;/citation.key23&gt;&lt;citation.value23&gt;U.S.P.Q.2d (BNA)&lt;/citation.value23&gt;&lt;citation.key24&gt;LooseleafCase.Volume&lt;/citation.key24&gt;&lt;citation.value24&gt;99&lt;/citation.value24&gt;&lt;citation.key25&gt;LooseleafCase._Pattern&lt;/citation.key25&gt;&lt;citation.value25&gt;LooseleafCase.LooseleafCase&lt;/citation.value25&gt;&lt;citation.key26&gt;NY L Paren&lt;/citation.key26&gt;&lt;citation.value26&gt;(&lt;/citation.value26&gt;&lt;citation.key27&gt;NY R Paren&lt;/citation.key27&gt;&lt;citation.value27&gt;)&lt;/citation.value27&gt;&lt;citation.key28&gt;Reporter&lt;/citation.key28&gt;&lt;citation.value28&gt;645 F.3d 464 &lt;/citation.value28&gt;&lt;citation.key29&gt;Reporter.FirstPage&lt;/citation.key29&gt;&lt;citation.value29&gt;464&lt;/citation.value29&gt;&lt;citation.key30&gt;Reporter.Name&lt;/citation.key30&gt;&lt;citation.value30&gt;F.3d&lt;/citation.value30&gt;&lt;citation.key31&gt;Reporter.Volume&lt;/citation.key31&gt;&lt;citation.value31&gt;645&lt;/citation.value31&gt;&lt;citation.key32&gt;Reporter.[&lt;/citation.key32&gt;&lt;citation.value32&gt;[&lt;/citation.value32&gt;&lt;citation.key33&gt;Reporter.]&lt;/citation.key33&gt;&lt;citation.value33&gt;]&lt;/citation.value33&gt;&lt;citation.key34&gt;Reporter._Pattern&lt;/citation.key34&gt;&lt;citation.value34&gt;Reporter.Reporter&lt;/citation.value34&gt;&lt;citation.key35&gt;Reporter.page&lt;/citation.key35&gt;&lt;citation.value35&gt;page&lt;/citation.value35&gt;&lt;citation.key36&gt;RequiredComma&lt;/citation.key36&gt;&lt;citation.value36&gt;, &lt;/citation.value36&gt;&lt;citation.key37&gt;RequiredComma.Comma&lt;/citation.key37&gt;&lt;citation.value37&gt;,&lt;/citation.value37&gt;&lt;citation.key38&gt;RequiredComma._Pattern&lt;/citation.key38&gt;&lt;citation.value38&gt;RequiredComma.RequiredComma&lt;/citation.value38&gt;&lt;citation.key39&gt;supra&lt;/citation.key39&gt;&lt;citation.value39&gt;&lt;/citation.value39&gt;&lt;citation.key40&gt;supra.,&lt;/citation.key40&gt;&lt;citation.value40&gt;, &lt;/citation.value40&gt;&lt;citation.key41&gt;supra._Pattern&lt;/citation.key41&gt;&lt;citation.value41&gt;ShortCaseSupra.ShortCaseSupra&lt;/citation.value41&gt;&lt;citation.key42&gt;supra.supra&lt;/citation.key42&gt;&lt;citation.value42&gt;supra&lt;/citation.value42&gt;&lt;/citation&gt;_x000a_"/>
    <w:docVar w:name="CITRUS_BOOKMARK39[0]" w:val="&lt;#1&gt;&lt;citation&gt;&lt;citation._original_string&gt;Gladwell Gov't Services, Inc. v. County of Marin, 265 F. App'x 624, 626 (9th Cir. 2008)&lt;/citation._original_string&gt;&lt;citation._current_string&gt;Gladwell Gov't Servs. v. County of Marin, 265 F. App'x 624, 626 (9th Cir. 2008)&lt;/citation._current_string&gt;&lt;citation._full_string&gt;Gladwell Gov't Servs. v. County of Marin, 265 F. App'x 624, 626 (9th Cir. 2008)&lt;/citation._full_string&gt;&lt;citation._current_format&gt;Full.CaseCitation&lt;/citation._current_format&gt;&lt;citation.name&gt;&lt;/citation.name&gt;&lt;citation.key0&gt;,&lt;/citation.key0&gt;&lt;citation.value0&gt;,&lt;/citation.value0&gt;&lt;citation.key1&gt;CaseName.FirstParty&lt;/citation.key1&gt;&lt;citation.value1&gt;Gladwell Gov't Servs.&lt;/citation.value1&gt;&lt;citation.key2&gt;CaseName.FirstParty.Party&lt;/citation.key2&gt;&lt;citation.value2&gt;Gladwell Gov't Servs.&lt;/citation.value2&gt;&lt;citation.key3&gt;CaseName.FirstParty._Pattern&lt;/citation.key3&gt;&lt;citation.value3&gt;Party.Party&lt;/citation.value3&gt;&lt;citation.key4&gt;CaseName.SecondParty&lt;/citation.key4&gt;&lt;citation.value4&gt;County of Marin&lt;/citation.value4&gt;&lt;citation.key5&gt;CaseName.SecondParty.Party&lt;/citation.key5&gt;&lt;citation.value5&gt;County of Marin&lt;/citation.value5&gt;&lt;citation.key6&gt;CaseName.SecondParty._Pattern&lt;/citation.key6&gt;&lt;citation.value6&gt;Party.Party&lt;/citation.value6&gt;&lt;citation.key7&gt;CaseName._Pattern&lt;/citation.key7&gt;&lt;citation.value7&gt;&lt;/citation.value7&gt;&lt;citation.key8&gt;CourtParenthetical&lt;/citation.key8&gt;&lt;citation.value8&gt; (9th Cir. 2008) &lt;/citation.value8&gt;&lt;citation.key9&gt;CourtParenthetical.CourtName&lt;/citation.key9&gt;&lt;citation.value9&gt;9th Cir. &lt;/citation.value9&gt;&lt;citation.key10&gt;CourtParenthetical.CourtName.CourtName&lt;/citation.key10&gt;&lt;citation.value10&gt;9th Cir.&lt;/citation.value10&gt;&lt;citation.key11&gt;CourtParenthetical.CourtName._Pattern&lt;/citation.key11&gt;&lt;citation.value11&gt;CourtName.CourtName&lt;/citation.value11&gt;&lt;citation.key12&gt;CourtParenthetical.Date.Year&lt;/citation.key12&gt;&lt;citation.value12&gt;2008&lt;/citation.value12&gt;&lt;citation.key13&gt;CourtParenthetical.Date.Year.Year&lt;/citation.key13&gt;&lt;citation.value13&gt;2008&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265 F. App'x 624, 626&lt;/citation.value30&gt;&lt;citation.key31&gt;Reporter.FirstPage&lt;/citation.key31&gt;&lt;citation.value31&gt;624&lt;/citation.value31&gt;&lt;citation.key32&gt;Reporter.Name&lt;/citation.key32&gt;&lt;citation.value32&gt;F. App'x&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265&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626&lt;/citation.value40&gt;&lt;citation.key41&gt;Reporter.__PinPages.First&lt;/citation.key41&gt;&lt;citation.value41&gt;626&lt;/citation.value41&gt;&lt;citation.key42&gt;Reporter.__PinPages.First._Pattern&lt;/citation.key42&gt;&lt;citation.value42&gt;FirstPageInRange.FirstPageInRange&lt;/citation.value42&gt;&lt;citation.key43&gt;Reporter.__PinPages.First.__PageNumber&lt;/citation.key43&gt;&lt;citation.value43&gt;626&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4[0]" w:val="&lt;#1&gt;&lt;citation&gt;&lt;citation._original_string&gt;§ 201(a)&lt;/citation._original_string&gt;&lt;citation._current_string&gt;17 U.S.C. § 201(a)&lt;/citation._current_string&gt;&lt;citation._full_string&gt;17 U.S.C. §201(a)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a)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a)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a) &lt;/citation.value13&gt;&lt;citation.key14&gt;USCCodeCitation.__SectionOrSections.SectionNumberList.SectionNumberScalarOrRange&lt;/citation.key14&gt;&lt;citation.value14&gt;201(a) &lt;/citation.value14&gt;&lt;citation.key15&gt;USCCodeCitation.__SectionOrSections.SectionNumberList.SectionNumberScalarOrRange.SectionNumber&lt;/citation.key15&gt;&lt;citation.value15&gt;201(a)&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0[0]" w:val="&lt;#1&gt;&lt;citation&gt;&lt;citation._original_string&gt;Schiller &amp; Schmidt, Inc. v. Nordisco Corp., 969 F.2d 410, 412 (7th Cir. 1992)&lt;/citation._original_string&gt;&lt;citation._current_string&gt;Schiller &amp; Schmidt v. Nordisco Corp., 969 F.2d 410, 412 (7th Cir. 1992)&lt;/citation._current_string&gt;&lt;citation._full_string&gt;Schiller &amp; Schmidt v. Nordisco Corp., 969 F.2d 410, 412 (7th Cir. 1992)&lt;/citation._full_string&gt;&lt;citation._current_format&gt;Full.CaseCitation&lt;/citation._current_format&gt;&lt;citation.name&gt;&lt;/citation.name&gt;&lt;citation.key0&gt;,&lt;/citation.key0&gt;&lt;citation.value0&gt;,&lt;/citation.value0&gt;&lt;citation.key1&gt;CaseName.FirstParty&lt;/citation.key1&gt;&lt;citation.value1&gt;Schiller &amp; Schmidt&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lt;/citation.value7&gt;&lt;citation.key8&gt;CourtParenthetical&lt;/citation.key8&gt;&lt;citation.value8&gt; (7th Cir. 1992) &lt;/citation.value8&gt;&lt;citation.key9&gt;CourtParenthetical.CourtName&lt;/citation.key9&gt;&lt;citation.value9&gt;7th Cir. &lt;/citation.value9&gt;&lt;citation.key10&gt;CourtParenthetical.CourtName.CourtName&lt;/citation.key10&gt;&lt;citation.value10&gt;7th Cir.&lt;/citation.value10&gt;&lt;citation.key11&gt;CourtParenthetical.CourtName._Pattern&lt;/citation.key11&gt;&lt;citation.value11&gt;CourtName.CourtName&lt;/citation.value11&gt;&lt;citation.key12&gt;CourtParenthetical.Date.Year&lt;/citation.key12&gt;&lt;citation.value12&gt;1992&lt;/citation.value12&gt;&lt;citation.key13&gt;CourtParenthetical.Date.Year.Year&lt;/citation.key13&gt;&lt;citation.value13&gt;1992&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969 F.2d 410, 412&lt;/citation.value30&gt;&lt;citation.key31&gt;Reporter.FirstPage&lt;/citation.key31&gt;&lt;citation.value31&gt;410&lt;/citation.value31&gt;&lt;citation.key32&gt;Reporter.Name&lt;/citation.key32&gt;&lt;citation.value32&gt;F.2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969&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412&lt;/citation.value40&gt;&lt;citation.key41&gt;Reporter.__PinPages.First&lt;/citation.key41&gt;&lt;citation.value41&gt;412&lt;/citation.value41&gt;&lt;citation.key42&gt;Reporter.__PinPages.First._Pattern&lt;/citation.key42&gt;&lt;citation.value42&gt;FirstPageInRange.FirstPageInRange&lt;/citation.value42&gt;&lt;citation.key43&gt;Reporter.__PinPages.First.__PageNumber&lt;/citation.key43&gt;&lt;citation.value43&gt;412&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41[0]" w:val="&lt;#1&gt;&lt;citation&gt;&lt;citation._original_string&gt;Playboy Enterprises, Inc. v. Dumas, 53 F.3d 549, 559&lt;/citation._original_string&gt;&lt;citation._current_string&gt;Playboy Enters. v. Dumas, 53 F.3d 549, 559 (2d Cir. 1995)&lt;/citation._current_string&gt;&lt;citation._full_string&gt;Playboy Enters. v. Dumas, 53 F.3d 549, 559 (2d Cir. 1995)&lt;/citation._full_string&gt;&lt;citation._current_format&gt;Full.CaseCitation&lt;/citation._current_format&gt;&lt;citation.name&gt;&lt;/citation.name&gt;&lt;citation.key0&gt;,&lt;/citation.key0&gt;&lt;citation.value0&gt;,&lt;/citation.value0&gt;&lt;citation.key1&gt;CaseName.FirstParty&lt;/citation.key1&gt;&lt;citation.value1&gt;Playboy Enters.&lt;/citation.value1&gt;&lt;citation.key2&gt;CaseName.FirstParty.Party&lt;/citation.key2&gt;&lt;citation.value2&gt;Playboy Enters.&lt;/citation.value2&gt;&lt;citation.key3&gt;CaseName.FirstParty._Pattern&lt;/citation.key3&gt;&lt;citation.value3&gt;Party.Party&lt;/citation.value3&gt;&lt;citation.key4&gt;CaseName.SecondParty&lt;/citation.key4&gt;&lt;citation.value4&gt;Dumas&lt;/citation.value4&gt;&lt;citation.key5&gt;CaseName.SecondParty.Party&lt;/citation.key5&gt;&lt;citation.value5&gt;Dumas&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1995) &lt;/citation.value8&gt;&lt;citation.key9&gt;CourtParenthetical.CourtName&lt;/citation.key9&gt;&lt;citation.value9&gt;2d Cir. N.Y.&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_Pattern&lt;/citation.key16&gt;&lt;citation.value16&gt;CourtParenthetical.CourtParenthetical&lt;/citation.value16&gt;&lt;citation.key17&gt;HAS_AUTHORITATIVE_DATA&lt;/citation.key17&gt;&lt;citation.value17&gt;YES&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3 F.3d 549, 559&lt;/citation.value23&gt;&lt;citation.key24&gt;Reporter.FirstPage&lt;/citation.key24&gt;&lt;citation.value24&gt;549&lt;/citation.value24&gt;&lt;citation.key25&gt;Reporter.Name&lt;/citation.key25&gt;&lt;citation.value25&gt;F.3d&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3&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559&lt;/citation.value33&gt;&lt;citation.key34&gt;Reporter.__PinPages.First&lt;/citation.key34&gt;&lt;citation.value34&gt;559&lt;/citation.value34&gt;&lt;citation.key35&gt;Reporter.__PinPages.First._Pattern&lt;/citation.key35&gt;&lt;citation.value35&gt;FirstPageInRange.FirstPageInRange&lt;/citation.value35&gt;&lt;citation.key36&gt;Reporter.__PinPages.First.__PageNumber&lt;/citation.key36&gt;&lt;citation.value36&gt;559&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upra&lt;/citation.key41&gt;&lt;citation.value41&gt;&lt;/citation.value41&gt;&lt;citation.key42&gt;supra.,&lt;/citation.key42&gt;&lt;citation.value42&gt;, &lt;/citation.value42&gt;&lt;citation.key43&gt;supra._Pattern&lt;/citation.key43&gt;&lt;citation.value43&gt;ShortCaseSupra.ShortCaseSupra&lt;/citation.value43&gt;&lt;citation.key44&gt;supra.supra&lt;/citation.key44&gt;&lt;citation.value44&gt;supra&lt;/citation.value44&gt;&lt;/citation&gt;_x000a_"/>
    <w:docVar w:name="CITRUS_BOOKMARK43[0]" w:val="&lt;#1&gt;&lt;citation&gt;&lt;citation._original_string&gt;§ 101(2)&lt;/citation._original_string&gt;&lt;citation._current_string&gt;17 U.S.C. § 101(2)&lt;/citation._current_string&gt;&lt;citation._full_string&gt;17 U.S.C. §101(2)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2)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2) &lt;/citation.value13&gt;&lt;citation.key14&gt;USCCodeCitation.__SectionOrSections.SectionNumberList.SectionNumberScalarOrRange&lt;/citation.key14&gt;&lt;citation.value14&gt;101(2) &lt;/citation.value14&gt;&lt;citation.key15&gt;USCCodeCitation.__SectionOrSections.SectionNumberList.SectionNumberScalarOrRange.SectionNumber&lt;/citation.key15&gt;&lt;citation.value15&gt;101(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5[0]" w:val="&lt;#1&gt;&lt;citation&gt;&lt;citation._original_string&gt;17 USC § 101(2)&lt;/citation._original_string&gt;&lt;citation._current_string&gt;17 U.S.C. § 101(2)&lt;/citation._current_string&gt;&lt;citation._full_string&gt;17 U.S.C. §101(2)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2)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2) &lt;/citation.value13&gt;&lt;citation.key14&gt;USCCodeCitation.__SectionOrSections.SectionNumberList.SectionNumberScalarOrRange&lt;/citation.key14&gt;&lt;citation.value14&gt;101(2) &lt;/citation.value14&gt;&lt;citation.key15&gt;USCCodeCitation.__SectionOrSections.SectionNumberList.SectionNumberScalarOrRange.SectionNumber&lt;/citation.key15&gt;&lt;citation.value15&gt;101(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6[0]" w:val="&lt;#1&gt;&lt;citation&gt;&lt;citation._original_string&gt;Conley v. Gibson, 355 U.S. 41, 45-46 (1957)&lt;/citation._original_string&gt;&lt;citation._current_string&gt;Conley v. Gibson, 355 U.S. 41, 45-46 (1957)&lt;/citation._current_string&gt;&lt;citation._full_string&gt;Conley v. Gibson, 355 U.S. 41, 45-46 (1957)&lt;/citation._full_string&gt;&lt;citation._current_format&gt;Full.CaseCitation&lt;/citation._current_format&gt;&lt;citation.name&gt;&lt;/citation.name&gt;&lt;citation.key0&gt;,&lt;/citation.key0&gt;&lt;citation.value0&gt;,&lt;/citation.value0&gt;&lt;citation.key1&gt;CaseName&lt;/citation.key1&gt;&lt;citation.value1&gt;Conley v. Gibson &lt;/citation.value1&gt;&lt;citation.key2&gt;CaseName.FirstParty&lt;/citation.key2&gt;&lt;citation.value2&gt;Conley &lt;/citation.value2&gt;&lt;citation.key3&gt;CaseName.FirstParty.Party&lt;/citation.key3&gt;&lt;citation.value3&gt;Conley&lt;/citation.value3&gt;&lt;citation.key4&gt;CaseName.FirstParty._Pattern&lt;/citation.key4&gt;&lt;citation.value4&gt;Party.Party&lt;/citation.value4&gt;&lt;citation.key5&gt;CaseName.SecondParty&lt;/citation.key5&gt;&lt;citation.value5&gt;Gibson &lt;/citation.value5&gt;&lt;citation.key6&gt;CaseName.SecondParty.Party&lt;/citation.key6&gt;&lt;citation.value6&gt;Gibson&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57) &lt;/citation.value10&gt;&lt;citation.key11&gt;CourtParenthetical.Date&lt;/citation.key11&gt;&lt;citation.value11&gt;1957 &lt;/citation.value11&gt;&lt;citation.key12&gt;CourtParenthetical.Date.Year&lt;/citation.key12&gt;&lt;citation.value12&gt;1957 &lt;/citation.value12&gt;&lt;citation.key13&gt;CourtParenthetical.Date.Year.Year&lt;/citation.key13&gt;&lt;citation.value13&gt;1957&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onley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355 U.S. at 45-46 &lt;/citation.value30&gt;&lt;citation.key31&gt;Reporter.FirstPage&lt;/citation.key31&gt;&lt;citation.value31&gt;41&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355&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45-46 &lt;/citation.value40&gt;&lt;citation.key41&gt;Reporter.__PinPages.First&lt;/citation.key41&gt;&lt;citation.value41&gt;45&lt;/citation.value41&gt;&lt;citation.key42&gt;Reporter.__PinPages.First._Pattern&lt;/citation.key42&gt;&lt;citation.value42&gt;FirstPageInRange.FirstPageInRange&lt;/citation.value42&gt;&lt;citation.key43&gt;Reporter.__PinPages.First.__PageNumber&lt;/citation.key43&gt;&lt;citation.value43&gt;45&lt;/citation.value43&gt;&lt;citation.key44&gt;Reporter.__PinPages.Last&lt;/citation.key44&gt;&lt;citation.value44&gt;46 &lt;/citation.value44&gt;&lt;citation.key45&gt;Reporter.__PinPages.Last.PageNumber&lt;/citation.key45&gt;&lt;citation.value45&gt;46&lt;/citation.value45&gt;&lt;citation.key46&gt;Reporter.__PinPages.Last.PageNumber_Full&lt;/citation.key46&gt;&lt;citation.value46&gt;46&lt;/citation.value46&gt;&lt;citation.key47&gt;Reporter.__PinPages.Last._Pattern&lt;/citation.key47&gt;&lt;citation.value47&gt;LastPageNumber.LastPageNumber&lt;/citation.value47&gt;&lt;citation.key48&gt;Reporter.__PinPages.RangeDash&lt;/citation.key48&gt;&lt;citation.value48&gt;-&lt;/citation.value48&gt;&lt;citation.key49&gt;Reporter.__PinPages._Pattern&lt;/citation.key49&gt;&lt;citation.value49&gt;PinPages.PinPages&lt;/citation.value49&gt;&lt;citation.key50&gt;Reporter.page&lt;/citation.key50&gt;&lt;citation.value50&gt;pages&lt;/citation.value50&gt;&lt;citation.key51&gt;RequiredComma&lt;/citation.key51&gt;&lt;citation.value51&gt;, &lt;/citation.value51&gt;&lt;citation.key52&gt;RequiredComma.Comma&lt;/citation.key52&gt;&lt;citation.value52&gt;,&lt;/citation.value52&gt;&lt;citation.key53&gt;RequiredComma._Pattern&lt;/citation.key53&gt;&lt;citation.value53&gt;RequiredComma.RequiredComma&lt;/citation.value53&gt;&lt;citation.key54&gt;SecondParty&lt;/citation.key54&gt;&lt;citation.value54&gt;Gibson &lt;/citation.value54&gt;&lt;citation.key55&gt;supra&lt;/citation.key55&gt;&lt;citation.value55&gt;&lt;/citation.value55&gt;&lt;citation.key56&gt;supra.,&lt;/citation.key56&gt;&lt;citation.value56&gt;, &lt;/citation.value56&gt;&lt;citation.key57&gt;supra._Pattern&lt;/citation.key57&gt;&lt;citation.value57&gt;ShortCaseSupra.ShortCaseSupra&lt;/citation.value57&gt;&lt;citation.key58&gt;supra.supra&lt;/citation.key58&gt;&lt;citation.value58&gt;supra&lt;/citation.value58&gt;&lt;citation.key59&gt;v&lt;/citation.key59&gt;&lt;citation.value59&gt;v.&lt;/citation.value59&gt;&lt;/citation&gt;_x000a_"/>
    <w:docVar w:name="CITRUS_BOOKMARK47[0]" w:val="&lt;#1&gt;&lt;citation&gt;&lt;citation._original_string&gt;Bell Atl. Corp. v. Twombly, 550 U.S. 544, 555 (2007)&lt;/citation._original_string&gt;&lt;citation._current_string&gt;Bell Atl. Corp. v. Twombly, 550 U.S. 544, 555 (2007)&lt;/citation._current_string&gt;&lt;citation._full_string&gt;Bell Atl. Corp. v. Twombly, 550 U.S. 544, 555 (2007)&lt;/citation._full_string&gt;&lt;citation._current_format&gt;Full.CaseCitation&lt;/citation._current_format&gt;&lt;citation.name&gt;&lt;/citation.name&gt;&lt;citation.key0&gt;,&lt;/citation.key0&gt;&lt;citation.value0&gt;,&lt;/citation.value0&gt;&lt;citation.key1&gt;CaseName&lt;/citation.key1&gt;&lt;citation.value1&gt;Bell Atl. Corp. v. Twombly &lt;/citation.value1&gt;&lt;citation.key2&gt;CaseName.FirstParty&lt;/citation.key2&gt;&lt;citation.value2&gt;Bell Atl. Corp. &lt;/citation.value2&gt;&lt;citation.key3&gt;CaseName.FirstParty.Party&lt;/citation.key3&gt;&lt;citation.value3&gt;Bell Atlantic Corporation&lt;/citation.value3&gt;&lt;citation.key4&gt;CaseName.FirstParty._Pattern&lt;/citation.key4&gt;&lt;citation.value4&gt;Party.Party&lt;/citation.value4&gt;&lt;citation.key5&gt;CaseName.SecondParty&lt;/citation.key5&gt;&lt;citation.value5&gt;Twombly &lt;/citation.value5&gt;&lt;citation.key6&gt;CaseName.SecondParty.Party&lt;/citation.key6&gt;&lt;citation.value6&gt;Twombly&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7) &lt;/citation.value10&gt;&lt;citation.key11&gt;CourtParenthetical.Date&lt;/citation.key11&gt;&lt;citation.value11&gt;2007 &lt;/citation.value11&gt;&lt;citation.key12&gt;CourtParenthetical.Date.Year&lt;/citation.key12&gt;&lt;citation.value12&gt;2007 &lt;/citation.value12&gt;&lt;citation.key13&gt;CourtParenthetical.Date.Year.Year&lt;/citation.key13&gt;&lt;citation.value13&gt;2007&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Bell Atl. Corp.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50 U.S. at 555&lt;/citation.value30&gt;&lt;citation.key31&gt;Reporter.FirstPage&lt;/citation.key31&gt;&lt;citation.value31&gt;544&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5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555&lt;/citation.value40&gt;&lt;citation.key41&gt;Reporter.__PinPages.First&lt;/citation.key41&gt;&lt;citation.value41&gt;555&lt;/citation.value41&gt;&lt;citation.key42&gt;Reporter.__PinPages.First._Pattern&lt;/citation.key42&gt;&lt;citation.value42&gt;FirstPageInRange.FirstPageInRange&lt;/citation.value42&gt;&lt;citation.key43&gt;Reporter.__PinPages.First.__PageNumber&lt;/citation.key43&gt;&lt;citation.value43&gt;55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Twombly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48[0]" w:val="&lt;#1&gt;&lt;citation&gt;&lt;citation._original_string&gt;17 U.S.C. § 502(a)&lt;/citation._original_string&gt;&lt;citation._current_string&gt;Id. § 502(a)&lt;/citation._current_string&gt;&lt;citation._full_string&gt;17 U.S.C. §502(a) (2006)&lt;/citation._full_string&gt;&lt;citation._current_format&gt;Id.USC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502(a)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502(a)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502(a) &lt;/citation.value13&gt;&lt;citation.key14&gt;USCCodeCitation.__SectionOrSections.SectionNumberList.SectionNumberScalarOrRange&lt;/citation.key14&gt;&lt;citation.value14&gt;502(a) &lt;/citation.value14&gt;&lt;citation.key15&gt;USCCodeCitation.__SectionOrSections.SectionNumberList.SectionNumberScalarOrRange.SectionNumber&lt;/citation.key15&gt;&lt;citation.value15&gt;502(a)&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9[0]" w:val="&lt;#1&gt;&lt;citation&gt;&lt;citation._original_string&gt;Lamie v. U.S. Tr., 540 U.S. 526, 534 (2004)&lt;/citation._original_string&gt;&lt;citation._current_string&gt;Lamie v. U.S. Tr., 540 U.S. 526, 534 (2004)&lt;/citation._current_string&gt;&lt;citation._full_string&gt;Lamie v. U.S. Tr., 540 U.S. 526, 534 (2004)&lt;/citation._full_string&gt;&lt;citation._current_format&gt;Full.CaseCitation&lt;/citation._current_format&gt;&lt;citation.name&gt;&lt;/citation.name&gt;&lt;citation.key0&gt;,&lt;/citation.key0&gt;&lt;citation.value0&gt;,&lt;/citation.value0&gt;&lt;citation.key1&gt;CaseName&lt;/citation.key1&gt;&lt;citation.value1&gt;Lamie v. U.S. Tr. &lt;/citation.value1&gt;&lt;citation.key2&gt;CaseName.FirstParty&lt;/citation.key2&gt;&lt;citation.value2&gt;Lamie &lt;/citation.value2&gt;&lt;citation.key3&gt;CaseName.FirstParty.Party&lt;/citation.key3&gt;&lt;citation.value3&gt;Lamie&lt;/citation.value3&gt;&lt;citation.key4&gt;CaseName.FirstParty._Pattern&lt;/citation.key4&gt;&lt;citation.value4&gt;Party.Party&lt;/citation.value4&gt;&lt;citation.key5&gt;CaseName.SecondParty&lt;/citation.key5&gt;&lt;citation.value5&gt;U.S. Tr. &lt;/citation.value5&gt;&lt;citation.key6&gt;CaseName.SecondParty.Party&lt;/citation.key6&gt;&lt;citation.value6&gt;United States Trustee&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004) &lt;/citation.value10&gt;&lt;citation.key11&gt;CourtParenthetical.Date&lt;/citation.key11&gt;&lt;citation.value11&gt;2004 &lt;/citation.value11&gt;&lt;citation.key12&gt;CourtParenthetical.Date.Year&lt;/citation.key12&gt;&lt;citation.value12&gt;2004 &lt;/citation.value12&gt;&lt;citation.key13&gt;CourtParenthetical.Date.Year.Year&lt;/citation.key13&gt;&lt;citation.value13&gt;2004&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Lamie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40 U.S. at 534&lt;/citation.value30&gt;&lt;citation.key31&gt;Reporter.FirstPage&lt;/citation.key31&gt;&lt;citation.value31&gt;526&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4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534&lt;/citation.value40&gt;&lt;citation.key41&gt;Reporter.__PinPages.First&lt;/citation.key41&gt;&lt;citation.value41&gt;534&lt;/citation.value41&gt;&lt;citation.key42&gt;Reporter.__PinPages.First._Pattern&lt;/citation.key42&gt;&lt;citation.value42&gt;FirstPageInRange.FirstPageInRange&lt;/citation.value42&gt;&lt;citation.key43&gt;Reporter.__PinPages.First.__PageNumber&lt;/citation.key43&gt;&lt;citation.value43&gt;534&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U.S. Tr.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5[0]" w:val="&lt;#1&gt;&lt;citation&gt;&lt;citation._original_string&gt;§ 201(b)&lt;/citation._original_string&gt;&lt;citation._current_string&gt;17 U.S.C. § 201(b)&lt;/citation._current_string&gt;&lt;citation._full_string&gt;17 U.S.C. §201(b)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b)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b)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b) &lt;/citation.value13&gt;&lt;citation.key14&gt;USCCodeCitation.__SectionOrSections.SectionNumberList.SectionNumberScalarOrRange&lt;/citation.key14&gt;&lt;citation.value14&gt;201(b) &lt;/citation.value14&gt;&lt;citation.key15&gt;USCCodeCitation.__SectionOrSections.SectionNumberList.SectionNumberScalarOrRange.SectionNumber&lt;/citation.key15&gt;&lt;citation.value15&gt;201(b)&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50[0]" w:val="&lt;#1&gt;&lt;citation&gt;&lt;citation._original_string&gt;§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51[0]" w:val="&lt;#1&gt;&lt;citation&gt;&lt;citation._original_string&gt;See, e.g., Burroughs v. Metro-Goldwyn-Mayer, Inc., 683 F.2d 610 (2d Cir. 1982)&lt;/citation._original_string&gt;&lt;citation._current_string&gt;See, e.g., Burroughs v. Metro-Goldwyn-Mayer, Inc., 683 F.2d 610 (2d Cir. 1982)&lt;/citation._current_string&gt;&lt;citation._full_string&gt;see , e.g., Burroughs v. Metro-Goldwyn-Mayer, Inc., 683 F.2d 610 (2d Cir. 1982)&lt;/citation._full_string&gt;&lt;citation._current_format&gt;Full.CaseCitation&lt;/citation._current_format&gt;&lt;citation.name&gt;&lt;/citation.name&gt;&lt;citation.key0&gt;,&lt;/citation.key0&gt;&lt;citation.value0&gt;,&lt;/citation.value0&gt;&lt;citation.key1&gt;CaseName&lt;/citation.key1&gt;&lt;citation.value1&gt;Burroughs v. Metro-Goldwyn-Mayer, Inc. &lt;/citation.value1&gt;&lt;citation.key2&gt;CaseName.FirstParty&lt;/citation.key2&gt;&lt;citation.value2&gt;Burroughs &lt;/citation.value2&gt;&lt;citation.key3&gt;CaseName.FirstParty.Party&lt;/citation.key3&gt;&lt;citation.value3&gt;Burroughs&lt;/citation.value3&gt;&lt;citation.key4&gt;CaseName.FirstParty._Pattern&lt;/citation.key4&gt;&lt;citation.value4&gt;Party.Party&lt;/citation.value4&gt;&lt;citation.key5&gt;CaseName.SecondParty&lt;/citation.key5&gt;&lt;citation.value5&gt;Metro-Goldwyn-Mayer, Inc. &lt;/citation.value5&gt;&lt;citation.key6&gt;CaseName.SecondParty.Party&lt;/citation.key6&gt;&lt;citation.value6&gt;Metro-Goldwyn-Mayer,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d Cir. 1982)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82 &lt;/citation.value14&gt;&lt;citation.key15&gt;CourtParenthetical.Date.Year&lt;/citation.key15&gt;&lt;citation.value15&gt;1982 &lt;/citation.value15&gt;&lt;citation.key16&gt;CourtParenthetical.Date.Year.Year&lt;/citation.key16&gt;&lt;citation.value16&gt;198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683 F.2d 610 &lt;/citation.value32&gt;&lt;citation.key33&gt;Reporter.FirstPage&lt;/citation.key33&gt;&lt;citation.value33&gt;610&lt;/citation.value33&gt;&lt;citation.key34&gt;Reporter.Name&lt;/citation.key34&gt;&lt;citation.value34&gt;F.2d&lt;/citation.value34&gt;&lt;citation.key35&gt;Reporter.Volume&lt;/citation.key35&gt;&lt;citation.value35&gt;683&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__Signal&lt;/citation.key43&gt;&lt;citation.value43&gt;see , e.g., &lt;/citation.value43&gt;&lt;citation.key44&gt;__Signal.,&lt;/citation.key44&gt;&lt;citation.value44&gt;,&lt;/citation.value44&gt;&lt;citation.key45&gt;__Signal.Eg&lt;/citation.key45&gt;&lt;citation.value45&gt;e.g.&lt;/citation.value45&gt;&lt;citation.key46&gt;__Signal.RequiredComma&lt;/citation.key46&gt;&lt;citation.value46&gt;, &lt;/citation.value46&gt;&lt;citation.key47&gt;__Signal.RequiredComma.Comma&lt;/citation.key47&gt;&lt;citation.value47&gt;,&lt;/citation.value47&gt;&lt;citation.key48&gt;__Signal.RequiredComma._Pattern&lt;/citation.key48&gt;&lt;citation.value48&gt;RequiredComma.RequiredComma&lt;/citation.value48&gt;&lt;citation.key49&gt;__Signal.See&lt;/citation.key49&gt;&lt;citation.value49&gt;see&lt;/citation.value49&gt;&lt;citation.key50&gt;__Signal._Pattern&lt;/citation.key50&gt;&lt;citation.value50&gt;Signal.Signal&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53[0]" w:val="&lt;#1&gt;&lt;citation&gt;&lt;citation._original_string&gt;§ 502&lt;/citation._original_string&gt;&lt;citation._current_string&gt;id. § 502&lt;/citation._current_string&gt;&lt;citation._full_string&gt;17 U.S.C. §502 (2006)&lt;/citation._full_string&gt;&lt;citation._current_format&gt;Id.USC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502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50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502 &lt;/citation.value13&gt;&lt;citation.key14&gt;USCCodeCitation.__SectionOrSections.SectionNumberList.SectionNumberScalarOrRange&lt;/citation.key14&gt;&lt;citation.value14&gt;502 &lt;/citation.value14&gt;&lt;citation.key15&gt;USCCodeCitation.__SectionOrSections.SectionNumberList.SectionNumberScalarOrRange.SectionNumber&lt;/citation.key15&gt;&lt;citation.value15&gt;50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6[0]" w:val="&lt;#1&gt;&lt;citation&gt;&lt;citation._original_string&gt;Conley v. Gibson, 355 U.S. 41, 45-46 (1957)&lt;/citation._original_string&gt;&lt;citation._current_string&gt;Conley v. Gibson, 355 U.S. 41, 45-46 (1957)&lt;/citation._current_string&gt;&lt;citation._full_string&gt;Conley v. Gibson, 355 U.S. 41, 45-46 (1957)&lt;/citation._full_string&gt;&lt;citation._current_format&gt;Full.CaseCitation&lt;/citation._current_format&gt;&lt;citation.name&gt;&lt;/citation.name&gt;&lt;citation.key0&gt;,&lt;/citation.key0&gt;&lt;citation.value0&gt;,&lt;/citation.value0&gt;&lt;citation.key1&gt;CaseName.FirstParty.Party&lt;/citation.key1&gt;&lt;citation.value1&gt;Conley&lt;/citation.value1&gt;&lt;citation.key2&gt;CaseName.FirstParty._Pattern&lt;/citation.key2&gt;&lt;citation.value2&gt;Party.Party&lt;/citation.value2&gt;&lt;citation.key3&gt;CaseName.SecondParty.Party&lt;/citation.key3&gt;&lt;citation.value3&gt;Gibson&lt;/citation.value3&gt;&lt;citation.key4&gt;CaseName.SecondParty._Pattern&lt;/citation.key4&gt;&lt;citation.value4&gt;Party.Party&lt;/citation.value4&gt;&lt;citation.key5&gt;CourtParenthetical&lt;/citation.key5&gt;&lt;citation.value5&gt; (1957) &lt;/citation.value5&gt;&lt;citation.key6&gt;CourtParenthetical.Date.Year.Year&lt;/citation.key6&gt;&lt;citation.value6&gt;195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onley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355 U.S. 41, 45-46 &lt;/citation.value23&gt;&lt;citation.key24&gt;Reporter.FirstPage&lt;/citation.key24&gt;&lt;citation.value24&gt;41&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355&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45-46 &lt;/citation.value33&gt;&lt;citation.key34&gt;Reporter.__PinPages.First&lt;/citation.key34&gt;&lt;citation.value34&gt;45&lt;/citation.value34&gt;&lt;citation.key35&gt;Reporter.__PinPages.First._Pattern&lt;/citation.key35&gt;&lt;citation.value35&gt;FirstPageInRange.FirstPageInRange&lt;/citation.value35&gt;&lt;citation.key36&gt;Reporter.__PinPages.First.__PageNumber&lt;/citation.key36&gt;&lt;citation.value36&gt;45&lt;/citation.value36&gt;&lt;citation.key37&gt;Reporter.__PinPages.Last&lt;/citation.key37&gt;&lt;citation.value37&gt;46 &lt;/citation.value37&gt;&lt;citation.key38&gt;Reporter.__PinPages.Last.PageNumber&lt;/citation.key38&gt;&lt;citation.value38&gt;46&lt;/citation.value38&gt;&lt;citation.key39&gt;Reporter.__PinPages.Last.PageNumber_Full&lt;/citation.key39&gt;&lt;citation.value39&gt;46&lt;/citation.value39&gt;&lt;citation.key40&gt;Reporter.__PinPages.Last._Pattern&lt;/citation.key40&gt;&lt;citation.value40&gt;LastPageNumber.LastPageNumber&lt;/citation.value40&gt;&lt;citation.key41&gt;Reporter.__PinPages.RangeDash&lt;/citation.key41&gt;&lt;citation.value41&gt;-&lt;/citation.value41&gt;&lt;citation.key42&gt;Reporter.__PinPages._Pattern&lt;/citation.key42&gt;&lt;citation.value42&gt;PinPages.PinPages&lt;/citation.value42&gt;&lt;citation.key43&gt;Reporter.page&lt;/citation.key43&gt;&lt;citation.value43&gt;pages&lt;/citation.value43&gt;&lt;citation.key44&gt;RequiredComma&lt;/citation.key44&gt;&lt;citation.value44&gt;, &lt;/citation.value44&gt;&lt;citation.key45&gt;RequiredComma._Pattern&lt;/citation.key45&gt;&lt;citation.value45&gt;RequiredComma.RequiredComma&lt;/citation.value45&gt;&lt;citation.key46&gt;SecondParty&lt;/citation.key46&gt;&lt;citation.value46&gt;Gibson &lt;/citation.value46&gt;&lt;citation.key47&gt;supra&lt;/citation.key47&gt;&lt;citation.value47&gt;&lt;/citation.value47&gt;&lt;citation.key48&gt;supra.,&lt;/citation.key48&gt;&lt;citation.value48&gt;, &lt;/citation.value48&gt;&lt;citation.key49&gt;supra._Pattern&lt;/citation.key49&gt;&lt;citation.value49&gt;ShortCaseSupra.ShortCaseSupra&lt;/citation.value49&gt;&lt;citation.key50&gt;supra.supra&lt;/citation.key50&gt;&lt;citation.value50&gt;supra&lt;/citation.value50&gt;&lt;citation.key51&gt;v&lt;/citation.key51&gt;&lt;citation.value51&gt;v.&lt;/citation.value51&gt;&lt;/citation&gt;_x000a_"/>
    <w:docVar w:name="CITRUS_BOOKMARK7[0]" w:val="&lt;#1&gt;&lt;citation&gt;&lt;citation._original_string&gt;Bell Atl. Corp. v. Twombly, 550 U.S. 544, 555 (2007)&lt;/citation._original_string&gt;&lt;citation._current_string&gt;Bell Atl. Corp. v. Twombly, 550 U.S. 544, 555 (2007)&lt;/citation._current_string&gt;&lt;citation._full_string&gt;Bell Atl. Corp. v. Twombly, 550 U.S. 544, 555 (2007)&lt;/citation._full_string&gt;&lt;citation._current_format&gt;Full.CaseCitation&lt;/citation._current_format&gt;&lt;citation.name&gt;&lt;/citation.name&gt;&lt;citation.key0&gt;,&lt;/citation.key0&gt;&lt;citation.value0&gt;,&lt;/citation.value0&gt;&lt;citation.key1&gt;CaseName.FirstParty.Party&lt;/citation.key1&gt;&lt;citation.value1&gt;Bell Atlantic Corporation&lt;/citation.value1&gt;&lt;citation.key2&gt;CaseName.FirstParty._Pattern&lt;/citation.key2&gt;&lt;citation.value2&gt;Party.Party&lt;/citation.value2&gt;&lt;citation.key3&gt;CaseName.SecondParty.Party&lt;/citation.key3&gt;&lt;citation.value3&gt;Twombly&lt;/citation.value3&gt;&lt;citation.key4&gt;CaseName.SecondParty._Pattern&lt;/citation.key4&gt;&lt;citation.value4&gt;Party.Party&lt;/citation.value4&gt;&lt;citation.key5&gt;CourtParenthetical&lt;/citation.key5&gt;&lt;citation.value5&gt; (2007) &lt;/citation.value5&gt;&lt;citation.key6&gt;CourtParenthetical.Date.Year.Year&lt;/citation.key6&gt;&lt;citation.value6&gt;200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Bell Atl. Corp.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50 U.S. 544, 555&lt;/citation.value23&gt;&lt;citation.key24&gt;Reporter.FirstPage&lt;/citation.key24&gt;&lt;citation.value24&gt;544&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5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555&lt;/citation.value33&gt;&lt;citation.key34&gt;Reporter.__PinPages.First&lt;/citation.key34&gt;&lt;citation.value34&gt;555&lt;/citation.value34&gt;&lt;citation.key35&gt;Reporter.__PinPages.First._Pattern&lt;/citation.key35&gt;&lt;citation.value35&gt;FirstPageInRange.FirstPageInRange&lt;/citation.value35&gt;&lt;citation.key36&gt;Reporter.__PinPages.First.__PageNumber&lt;/citation.key36&gt;&lt;citation.value36&gt;555&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Twombly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8[0]" w:val="&lt;#1&gt;&lt;citation&gt;&lt;citation._original_string&gt;17 USC § 502(a)&lt;/citation._original_string&gt;&lt;citation._current_string&gt;Id. § 502(a)&lt;/citation._current_string&gt;&lt;citation._full_string&gt;17 U.S.C. §502(a) (2006)&lt;/citation._full_string&gt;&lt;citation._current_format&gt;Id.USC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502(a)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502(a)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502(a) &lt;/citation.value13&gt;&lt;citation.key14&gt;USCCodeCitation.__SectionOrSections.SectionNumberList.SectionNumberScalarOrRange&lt;/citation.key14&gt;&lt;citation.value14&gt;502(a) &lt;/citation.value14&gt;&lt;citation.key15&gt;USCCodeCitation.__SectionOrSections.SectionNumberList.SectionNumberScalarOrRange.SectionNumber&lt;/citation.key15&gt;&lt;citation.value15&gt;502(a)&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9[0]" w:val="&lt;#1&gt;&lt;citation&gt;&lt;citation._original_string&gt;17 USC § 504(a)1&lt;/citation._original_string&gt;&lt;citation._current_string&gt;17 U.S.C. § 504(a)&lt;/citation._current_string&gt;&lt;citation._full_string&gt;17 U.S.C. §504(a)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504(a)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504(a)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504(a) &lt;/citation.value13&gt;&lt;citation.key14&gt;USCCodeCitation.__SectionOrSections.SectionNumberList.SectionNumberScalarOrRange&lt;/citation.key14&gt;&lt;citation.value14&gt;504(a) &lt;/citation.value14&gt;&lt;citation.key15&gt;USCCodeCitation.__SectionOrSections.SectionNumberList.SectionNumberScalarOrRange.SectionNumber&lt;/citation.key15&gt;&lt;citation.value15&gt;504(a)&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s>
  <w:rsids>
    <w:rsidRoot w:val="005E77A3"/>
    <w:rsid w:val="00023440"/>
    <w:rsid w:val="00035E05"/>
    <w:rsid w:val="000C2952"/>
    <w:rsid w:val="000D5D49"/>
    <w:rsid w:val="000D7F9B"/>
    <w:rsid w:val="000F38A0"/>
    <w:rsid w:val="000F59BE"/>
    <w:rsid w:val="001039DE"/>
    <w:rsid w:val="0013255B"/>
    <w:rsid w:val="0015092E"/>
    <w:rsid w:val="0015205A"/>
    <w:rsid w:val="00154F73"/>
    <w:rsid w:val="001743A8"/>
    <w:rsid w:val="00192662"/>
    <w:rsid w:val="001B097B"/>
    <w:rsid w:val="002567A2"/>
    <w:rsid w:val="00260983"/>
    <w:rsid w:val="00276959"/>
    <w:rsid w:val="00336856"/>
    <w:rsid w:val="00373090"/>
    <w:rsid w:val="00392602"/>
    <w:rsid w:val="0043019F"/>
    <w:rsid w:val="00430C33"/>
    <w:rsid w:val="004714C4"/>
    <w:rsid w:val="005054C3"/>
    <w:rsid w:val="00522C43"/>
    <w:rsid w:val="005B441B"/>
    <w:rsid w:val="005E77A3"/>
    <w:rsid w:val="00617791"/>
    <w:rsid w:val="00624FC3"/>
    <w:rsid w:val="00664BD1"/>
    <w:rsid w:val="006810FD"/>
    <w:rsid w:val="0068349A"/>
    <w:rsid w:val="00687ECC"/>
    <w:rsid w:val="00693064"/>
    <w:rsid w:val="006C5F8B"/>
    <w:rsid w:val="006D16F1"/>
    <w:rsid w:val="00767F27"/>
    <w:rsid w:val="007D066F"/>
    <w:rsid w:val="008202F8"/>
    <w:rsid w:val="00840CD9"/>
    <w:rsid w:val="00855DB9"/>
    <w:rsid w:val="00864017"/>
    <w:rsid w:val="00885EDD"/>
    <w:rsid w:val="00896B2F"/>
    <w:rsid w:val="008A102B"/>
    <w:rsid w:val="008A73FD"/>
    <w:rsid w:val="008B7E6C"/>
    <w:rsid w:val="008C211F"/>
    <w:rsid w:val="008C2AC9"/>
    <w:rsid w:val="008C593A"/>
    <w:rsid w:val="008E6911"/>
    <w:rsid w:val="00904ED5"/>
    <w:rsid w:val="0093179D"/>
    <w:rsid w:val="009768BA"/>
    <w:rsid w:val="00983D9E"/>
    <w:rsid w:val="009E085F"/>
    <w:rsid w:val="009F6462"/>
    <w:rsid w:val="00A82B01"/>
    <w:rsid w:val="00A960D2"/>
    <w:rsid w:val="00AC5410"/>
    <w:rsid w:val="00B16266"/>
    <w:rsid w:val="00B20415"/>
    <w:rsid w:val="00BB02FF"/>
    <w:rsid w:val="00BB783A"/>
    <w:rsid w:val="00BF1385"/>
    <w:rsid w:val="00C023AA"/>
    <w:rsid w:val="00C17B54"/>
    <w:rsid w:val="00C611FD"/>
    <w:rsid w:val="00CC2691"/>
    <w:rsid w:val="00CD0F78"/>
    <w:rsid w:val="00D62BDE"/>
    <w:rsid w:val="00D86499"/>
    <w:rsid w:val="00D955D8"/>
    <w:rsid w:val="00D97702"/>
    <w:rsid w:val="00DA4D89"/>
    <w:rsid w:val="00DB5705"/>
    <w:rsid w:val="00DB728A"/>
    <w:rsid w:val="00DC4739"/>
    <w:rsid w:val="00DD0F70"/>
    <w:rsid w:val="00DD32C2"/>
    <w:rsid w:val="00DE4D37"/>
    <w:rsid w:val="00DF23A0"/>
    <w:rsid w:val="00E06F1F"/>
    <w:rsid w:val="00E369B0"/>
    <w:rsid w:val="00E73C32"/>
    <w:rsid w:val="00E821B5"/>
    <w:rsid w:val="00EC5133"/>
    <w:rsid w:val="00F147C3"/>
    <w:rsid w:val="00F35ECD"/>
    <w:rsid w:val="00FC5D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9B5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959"/>
  </w:style>
  <w:style w:type="paragraph" w:styleId="Heading1">
    <w:name w:val="heading 1"/>
    <w:basedOn w:val="Normal"/>
    <w:next w:val="Normal"/>
    <w:link w:val="Heading1Char"/>
    <w:uiPriority w:val="9"/>
    <w:qFormat/>
    <w:rsid w:val="00276959"/>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76959"/>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76959"/>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276959"/>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276959"/>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276959"/>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276959"/>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276959"/>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276959"/>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76959"/>
    <w:rPr>
      <w:szCs w:val="32"/>
    </w:rPr>
  </w:style>
  <w:style w:type="character" w:customStyle="1" w:styleId="Heading1Char">
    <w:name w:val="Heading 1 Char"/>
    <w:basedOn w:val="DefaultParagraphFont"/>
    <w:link w:val="Heading1"/>
    <w:uiPriority w:val="9"/>
    <w:rsid w:val="0027695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7695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7695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276959"/>
    <w:rPr>
      <w:rFonts w:cstheme="majorBidi"/>
      <w:b/>
      <w:bCs/>
      <w:sz w:val="28"/>
      <w:szCs w:val="28"/>
    </w:rPr>
  </w:style>
  <w:style w:type="character" w:customStyle="1" w:styleId="Heading5Char">
    <w:name w:val="Heading 5 Char"/>
    <w:basedOn w:val="DefaultParagraphFont"/>
    <w:link w:val="Heading5"/>
    <w:uiPriority w:val="9"/>
    <w:semiHidden/>
    <w:rsid w:val="00276959"/>
    <w:rPr>
      <w:rFonts w:cstheme="majorBidi"/>
      <w:b/>
      <w:bCs/>
      <w:i/>
      <w:iCs/>
      <w:sz w:val="26"/>
      <w:szCs w:val="26"/>
    </w:rPr>
  </w:style>
  <w:style w:type="character" w:customStyle="1" w:styleId="Heading6Char">
    <w:name w:val="Heading 6 Char"/>
    <w:basedOn w:val="DefaultParagraphFont"/>
    <w:link w:val="Heading6"/>
    <w:uiPriority w:val="9"/>
    <w:semiHidden/>
    <w:rsid w:val="00276959"/>
    <w:rPr>
      <w:rFonts w:cstheme="majorBidi"/>
      <w:b/>
      <w:bCs/>
    </w:rPr>
  </w:style>
  <w:style w:type="character" w:customStyle="1" w:styleId="Heading7Char">
    <w:name w:val="Heading 7 Char"/>
    <w:basedOn w:val="DefaultParagraphFont"/>
    <w:link w:val="Heading7"/>
    <w:uiPriority w:val="9"/>
    <w:semiHidden/>
    <w:rsid w:val="00276959"/>
    <w:rPr>
      <w:rFonts w:cstheme="majorBidi"/>
      <w:sz w:val="24"/>
      <w:szCs w:val="24"/>
    </w:rPr>
  </w:style>
  <w:style w:type="character" w:customStyle="1" w:styleId="Heading8Char">
    <w:name w:val="Heading 8 Char"/>
    <w:basedOn w:val="DefaultParagraphFont"/>
    <w:link w:val="Heading8"/>
    <w:uiPriority w:val="9"/>
    <w:semiHidden/>
    <w:rsid w:val="00276959"/>
    <w:rPr>
      <w:rFonts w:cstheme="majorBidi"/>
      <w:i/>
      <w:iCs/>
      <w:sz w:val="24"/>
      <w:szCs w:val="24"/>
    </w:rPr>
  </w:style>
  <w:style w:type="character" w:customStyle="1" w:styleId="Heading9Char">
    <w:name w:val="Heading 9 Char"/>
    <w:basedOn w:val="DefaultParagraphFont"/>
    <w:link w:val="Heading9"/>
    <w:uiPriority w:val="9"/>
    <w:semiHidden/>
    <w:rsid w:val="00276959"/>
    <w:rPr>
      <w:rFonts w:asciiTheme="majorHAnsi" w:eastAsiaTheme="majorEastAsia" w:hAnsiTheme="majorHAnsi" w:cstheme="majorBidi"/>
    </w:rPr>
  </w:style>
  <w:style w:type="paragraph" w:styleId="Title">
    <w:name w:val="Title"/>
    <w:basedOn w:val="Normal"/>
    <w:next w:val="Normal"/>
    <w:link w:val="TitleChar"/>
    <w:uiPriority w:val="10"/>
    <w:qFormat/>
    <w:rsid w:val="0027695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76959"/>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76959"/>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276959"/>
    <w:rPr>
      <w:rFonts w:asciiTheme="majorHAnsi" w:eastAsiaTheme="majorEastAsia" w:hAnsiTheme="majorHAnsi" w:cstheme="majorBidi"/>
      <w:sz w:val="24"/>
      <w:szCs w:val="24"/>
    </w:rPr>
  </w:style>
  <w:style w:type="character" w:styleId="Strong">
    <w:name w:val="Strong"/>
    <w:basedOn w:val="DefaultParagraphFont"/>
    <w:uiPriority w:val="22"/>
    <w:qFormat/>
    <w:rsid w:val="00276959"/>
    <w:rPr>
      <w:b/>
      <w:bCs/>
    </w:rPr>
  </w:style>
  <w:style w:type="character" w:styleId="Emphasis">
    <w:name w:val="Emphasis"/>
    <w:basedOn w:val="DefaultParagraphFont"/>
    <w:uiPriority w:val="20"/>
    <w:qFormat/>
    <w:rsid w:val="00276959"/>
    <w:rPr>
      <w:rFonts w:asciiTheme="minorHAnsi" w:hAnsiTheme="minorHAnsi"/>
      <w:b/>
      <w:i/>
      <w:iCs/>
    </w:rPr>
  </w:style>
  <w:style w:type="paragraph" w:styleId="ListParagraph">
    <w:name w:val="List Paragraph"/>
    <w:basedOn w:val="Normal"/>
    <w:uiPriority w:val="34"/>
    <w:qFormat/>
    <w:rsid w:val="00276959"/>
    <w:pPr>
      <w:ind w:left="720"/>
      <w:contextualSpacing/>
    </w:pPr>
  </w:style>
  <w:style w:type="paragraph" w:styleId="Quote">
    <w:name w:val="Quote"/>
    <w:basedOn w:val="Normal"/>
    <w:next w:val="Normal"/>
    <w:link w:val="QuoteChar"/>
    <w:uiPriority w:val="29"/>
    <w:qFormat/>
    <w:rsid w:val="00276959"/>
    <w:rPr>
      <w:i/>
    </w:rPr>
  </w:style>
  <w:style w:type="character" w:customStyle="1" w:styleId="QuoteChar">
    <w:name w:val="Quote Char"/>
    <w:basedOn w:val="DefaultParagraphFont"/>
    <w:link w:val="Quote"/>
    <w:uiPriority w:val="29"/>
    <w:rsid w:val="00276959"/>
    <w:rPr>
      <w:i/>
      <w:sz w:val="24"/>
      <w:szCs w:val="24"/>
    </w:rPr>
  </w:style>
  <w:style w:type="paragraph" w:styleId="IntenseQuote">
    <w:name w:val="Intense Quote"/>
    <w:basedOn w:val="Normal"/>
    <w:next w:val="Normal"/>
    <w:link w:val="IntenseQuoteChar"/>
    <w:uiPriority w:val="30"/>
    <w:qFormat/>
    <w:rsid w:val="00276959"/>
    <w:pPr>
      <w:ind w:left="720" w:right="720"/>
    </w:pPr>
    <w:rPr>
      <w:b/>
      <w:i/>
      <w:szCs w:val="22"/>
    </w:rPr>
  </w:style>
  <w:style w:type="character" w:customStyle="1" w:styleId="IntenseQuoteChar">
    <w:name w:val="Intense Quote Char"/>
    <w:basedOn w:val="DefaultParagraphFont"/>
    <w:link w:val="IntenseQuote"/>
    <w:uiPriority w:val="30"/>
    <w:rsid w:val="00276959"/>
    <w:rPr>
      <w:b/>
      <w:i/>
      <w:sz w:val="24"/>
    </w:rPr>
  </w:style>
  <w:style w:type="character" w:styleId="SubtleEmphasis">
    <w:name w:val="Subtle Emphasis"/>
    <w:uiPriority w:val="19"/>
    <w:qFormat/>
    <w:rsid w:val="00276959"/>
    <w:rPr>
      <w:i/>
      <w:color w:val="5A5A5A" w:themeColor="text1" w:themeTint="A5"/>
    </w:rPr>
  </w:style>
  <w:style w:type="character" w:styleId="IntenseEmphasis">
    <w:name w:val="Intense Emphasis"/>
    <w:basedOn w:val="DefaultParagraphFont"/>
    <w:uiPriority w:val="21"/>
    <w:qFormat/>
    <w:rsid w:val="00276959"/>
    <w:rPr>
      <w:b/>
      <w:i/>
      <w:sz w:val="24"/>
      <w:szCs w:val="24"/>
      <w:u w:val="single"/>
    </w:rPr>
  </w:style>
  <w:style w:type="character" w:styleId="SubtleReference">
    <w:name w:val="Subtle Reference"/>
    <w:basedOn w:val="DefaultParagraphFont"/>
    <w:uiPriority w:val="31"/>
    <w:qFormat/>
    <w:rsid w:val="00276959"/>
    <w:rPr>
      <w:sz w:val="24"/>
      <w:szCs w:val="24"/>
      <w:u w:val="single"/>
    </w:rPr>
  </w:style>
  <w:style w:type="character" w:styleId="IntenseReference">
    <w:name w:val="Intense Reference"/>
    <w:basedOn w:val="DefaultParagraphFont"/>
    <w:uiPriority w:val="32"/>
    <w:qFormat/>
    <w:rsid w:val="00276959"/>
    <w:rPr>
      <w:b/>
      <w:sz w:val="24"/>
      <w:u w:val="single"/>
    </w:rPr>
  </w:style>
  <w:style w:type="character" w:styleId="BookTitle">
    <w:name w:val="Book Title"/>
    <w:basedOn w:val="DefaultParagraphFont"/>
    <w:uiPriority w:val="33"/>
    <w:qFormat/>
    <w:rsid w:val="0027695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76959"/>
    <w:pPr>
      <w:outlineLvl w:val="9"/>
    </w:pPr>
  </w:style>
  <w:style w:type="paragraph" w:styleId="Header">
    <w:name w:val="header"/>
    <w:basedOn w:val="Normal"/>
    <w:link w:val="HeaderChar"/>
    <w:uiPriority w:val="99"/>
    <w:unhideWhenUsed/>
    <w:rsid w:val="008A102B"/>
    <w:pPr>
      <w:tabs>
        <w:tab w:val="center" w:pos="4680"/>
        <w:tab w:val="right" w:pos="9360"/>
      </w:tabs>
    </w:pPr>
  </w:style>
  <w:style w:type="character" w:customStyle="1" w:styleId="HeaderChar">
    <w:name w:val="Header Char"/>
    <w:basedOn w:val="DefaultParagraphFont"/>
    <w:link w:val="Header"/>
    <w:uiPriority w:val="99"/>
    <w:rsid w:val="008A102B"/>
  </w:style>
  <w:style w:type="paragraph" w:styleId="Footer">
    <w:name w:val="footer"/>
    <w:basedOn w:val="Normal"/>
    <w:link w:val="FooterChar"/>
    <w:uiPriority w:val="99"/>
    <w:unhideWhenUsed/>
    <w:rsid w:val="008A102B"/>
    <w:pPr>
      <w:tabs>
        <w:tab w:val="center" w:pos="4680"/>
        <w:tab w:val="right" w:pos="9360"/>
      </w:tabs>
    </w:pPr>
  </w:style>
  <w:style w:type="character" w:customStyle="1" w:styleId="FooterChar">
    <w:name w:val="Footer Char"/>
    <w:basedOn w:val="DefaultParagraphFont"/>
    <w:link w:val="Footer"/>
    <w:uiPriority w:val="99"/>
    <w:rsid w:val="008A102B"/>
  </w:style>
  <w:style w:type="paragraph" w:styleId="BalloonText">
    <w:name w:val="Balloon Text"/>
    <w:basedOn w:val="Normal"/>
    <w:link w:val="BalloonTextChar"/>
    <w:uiPriority w:val="99"/>
    <w:semiHidden/>
    <w:unhideWhenUsed/>
    <w:rsid w:val="001B097B"/>
    <w:rPr>
      <w:rFonts w:ascii="Tahoma" w:hAnsi="Tahoma" w:cs="Tahoma"/>
      <w:sz w:val="16"/>
      <w:szCs w:val="16"/>
    </w:rPr>
  </w:style>
  <w:style w:type="character" w:customStyle="1" w:styleId="BalloonTextChar">
    <w:name w:val="Balloon Text Char"/>
    <w:basedOn w:val="DefaultParagraphFont"/>
    <w:link w:val="BalloonText"/>
    <w:uiPriority w:val="99"/>
    <w:semiHidden/>
    <w:rsid w:val="001B097B"/>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959"/>
  </w:style>
  <w:style w:type="paragraph" w:styleId="Heading1">
    <w:name w:val="heading 1"/>
    <w:basedOn w:val="Normal"/>
    <w:next w:val="Normal"/>
    <w:link w:val="Heading1Char"/>
    <w:uiPriority w:val="9"/>
    <w:qFormat/>
    <w:rsid w:val="00276959"/>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76959"/>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76959"/>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276959"/>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276959"/>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276959"/>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276959"/>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276959"/>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276959"/>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76959"/>
    <w:rPr>
      <w:szCs w:val="32"/>
    </w:rPr>
  </w:style>
  <w:style w:type="character" w:customStyle="1" w:styleId="Heading1Char">
    <w:name w:val="Heading 1 Char"/>
    <w:basedOn w:val="DefaultParagraphFont"/>
    <w:link w:val="Heading1"/>
    <w:uiPriority w:val="9"/>
    <w:rsid w:val="0027695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7695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7695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276959"/>
    <w:rPr>
      <w:rFonts w:cstheme="majorBidi"/>
      <w:b/>
      <w:bCs/>
      <w:sz w:val="28"/>
      <w:szCs w:val="28"/>
    </w:rPr>
  </w:style>
  <w:style w:type="character" w:customStyle="1" w:styleId="Heading5Char">
    <w:name w:val="Heading 5 Char"/>
    <w:basedOn w:val="DefaultParagraphFont"/>
    <w:link w:val="Heading5"/>
    <w:uiPriority w:val="9"/>
    <w:semiHidden/>
    <w:rsid w:val="00276959"/>
    <w:rPr>
      <w:rFonts w:cstheme="majorBidi"/>
      <w:b/>
      <w:bCs/>
      <w:i/>
      <w:iCs/>
      <w:sz w:val="26"/>
      <w:szCs w:val="26"/>
    </w:rPr>
  </w:style>
  <w:style w:type="character" w:customStyle="1" w:styleId="Heading6Char">
    <w:name w:val="Heading 6 Char"/>
    <w:basedOn w:val="DefaultParagraphFont"/>
    <w:link w:val="Heading6"/>
    <w:uiPriority w:val="9"/>
    <w:semiHidden/>
    <w:rsid w:val="00276959"/>
    <w:rPr>
      <w:rFonts w:cstheme="majorBidi"/>
      <w:b/>
      <w:bCs/>
    </w:rPr>
  </w:style>
  <w:style w:type="character" w:customStyle="1" w:styleId="Heading7Char">
    <w:name w:val="Heading 7 Char"/>
    <w:basedOn w:val="DefaultParagraphFont"/>
    <w:link w:val="Heading7"/>
    <w:uiPriority w:val="9"/>
    <w:semiHidden/>
    <w:rsid w:val="00276959"/>
    <w:rPr>
      <w:rFonts w:cstheme="majorBidi"/>
      <w:sz w:val="24"/>
      <w:szCs w:val="24"/>
    </w:rPr>
  </w:style>
  <w:style w:type="character" w:customStyle="1" w:styleId="Heading8Char">
    <w:name w:val="Heading 8 Char"/>
    <w:basedOn w:val="DefaultParagraphFont"/>
    <w:link w:val="Heading8"/>
    <w:uiPriority w:val="9"/>
    <w:semiHidden/>
    <w:rsid w:val="00276959"/>
    <w:rPr>
      <w:rFonts w:cstheme="majorBidi"/>
      <w:i/>
      <w:iCs/>
      <w:sz w:val="24"/>
      <w:szCs w:val="24"/>
    </w:rPr>
  </w:style>
  <w:style w:type="character" w:customStyle="1" w:styleId="Heading9Char">
    <w:name w:val="Heading 9 Char"/>
    <w:basedOn w:val="DefaultParagraphFont"/>
    <w:link w:val="Heading9"/>
    <w:uiPriority w:val="9"/>
    <w:semiHidden/>
    <w:rsid w:val="00276959"/>
    <w:rPr>
      <w:rFonts w:asciiTheme="majorHAnsi" w:eastAsiaTheme="majorEastAsia" w:hAnsiTheme="majorHAnsi" w:cstheme="majorBidi"/>
    </w:rPr>
  </w:style>
  <w:style w:type="paragraph" w:styleId="Title">
    <w:name w:val="Title"/>
    <w:basedOn w:val="Normal"/>
    <w:next w:val="Normal"/>
    <w:link w:val="TitleChar"/>
    <w:uiPriority w:val="10"/>
    <w:qFormat/>
    <w:rsid w:val="0027695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76959"/>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76959"/>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276959"/>
    <w:rPr>
      <w:rFonts w:asciiTheme="majorHAnsi" w:eastAsiaTheme="majorEastAsia" w:hAnsiTheme="majorHAnsi" w:cstheme="majorBidi"/>
      <w:sz w:val="24"/>
      <w:szCs w:val="24"/>
    </w:rPr>
  </w:style>
  <w:style w:type="character" w:styleId="Strong">
    <w:name w:val="Strong"/>
    <w:basedOn w:val="DefaultParagraphFont"/>
    <w:uiPriority w:val="22"/>
    <w:qFormat/>
    <w:rsid w:val="00276959"/>
    <w:rPr>
      <w:b/>
      <w:bCs/>
    </w:rPr>
  </w:style>
  <w:style w:type="character" w:styleId="Emphasis">
    <w:name w:val="Emphasis"/>
    <w:basedOn w:val="DefaultParagraphFont"/>
    <w:uiPriority w:val="20"/>
    <w:qFormat/>
    <w:rsid w:val="00276959"/>
    <w:rPr>
      <w:rFonts w:asciiTheme="minorHAnsi" w:hAnsiTheme="minorHAnsi"/>
      <w:b/>
      <w:i/>
      <w:iCs/>
    </w:rPr>
  </w:style>
  <w:style w:type="paragraph" w:styleId="ListParagraph">
    <w:name w:val="List Paragraph"/>
    <w:basedOn w:val="Normal"/>
    <w:uiPriority w:val="34"/>
    <w:qFormat/>
    <w:rsid w:val="00276959"/>
    <w:pPr>
      <w:ind w:left="720"/>
      <w:contextualSpacing/>
    </w:pPr>
  </w:style>
  <w:style w:type="paragraph" w:styleId="Quote">
    <w:name w:val="Quote"/>
    <w:basedOn w:val="Normal"/>
    <w:next w:val="Normal"/>
    <w:link w:val="QuoteChar"/>
    <w:uiPriority w:val="29"/>
    <w:qFormat/>
    <w:rsid w:val="00276959"/>
    <w:rPr>
      <w:i/>
    </w:rPr>
  </w:style>
  <w:style w:type="character" w:customStyle="1" w:styleId="QuoteChar">
    <w:name w:val="Quote Char"/>
    <w:basedOn w:val="DefaultParagraphFont"/>
    <w:link w:val="Quote"/>
    <w:uiPriority w:val="29"/>
    <w:rsid w:val="00276959"/>
    <w:rPr>
      <w:i/>
      <w:sz w:val="24"/>
      <w:szCs w:val="24"/>
    </w:rPr>
  </w:style>
  <w:style w:type="paragraph" w:styleId="IntenseQuote">
    <w:name w:val="Intense Quote"/>
    <w:basedOn w:val="Normal"/>
    <w:next w:val="Normal"/>
    <w:link w:val="IntenseQuoteChar"/>
    <w:uiPriority w:val="30"/>
    <w:qFormat/>
    <w:rsid w:val="00276959"/>
    <w:pPr>
      <w:ind w:left="720" w:right="720"/>
    </w:pPr>
    <w:rPr>
      <w:b/>
      <w:i/>
      <w:szCs w:val="22"/>
    </w:rPr>
  </w:style>
  <w:style w:type="character" w:customStyle="1" w:styleId="IntenseQuoteChar">
    <w:name w:val="Intense Quote Char"/>
    <w:basedOn w:val="DefaultParagraphFont"/>
    <w:link w:val="IntenseQuote"/>
    <w:uiPriority w:val="30"/>
    <w:rsid w:val="00276959"/>
    <w:rPr>
      <w:b/>
      <w:i/>
      <w:sz w:val="24"/>
    </w:rPr>
  </w:style>
  <w:style w:type="character" w:styleId="SubtleEmphasis">
    <w:name w:val="Subtle Emphasis"/>
    <w:uiPriority w:val="19"/>
    <w:qFormat/>
    <w:rsid w:val="00276959"/>
    <w:rPr>
      <w:i/>
      <w:color w:val="5A5A5A" w:themeColor="text1" w:themeTint="A5"/>
    </w:rPr>
  </w:style>
  <w:style w:type="character" w:styleId="IntenseEmphasis">
    <w:name w:val="Intense Emphasis"/>
    <w:basedOn w:val="DefaultParagraphFont"/>
    <w:uiPriority w:val="21"/>
    <w:qFormat/>
    <w:rsid w:val="00276959"/>
    <w:rPr>
      <w:b/>
      <w:i/>
      <w:sz w:val="24"/>
      <w:szCs w:val="24"/>
      <w:u w:val="single"/>
    </w:rPr>
  </w:style>
  <w:style w:type="character" w:styleId="SubtleReference">
    <w:name w:val="Subtle Reference"/>
    <w:basedOn w:val="DefaultParagraphFont"/>
    <w:uiPriority w:val="31"/>
    <w:qFormat/>
    <w:rsid w:val="00276959"/>
    <w:rPr>
      <w:sz w:val="24"/>
      <w:szCs w:val="24"/>
      <w:u w:val="single"/>
    </w:rPr>
  </w:style>
  <w:style w:type="character" w:styleId="IntenseReference">
    <w:name w:val="Intense Reference"/>
    <w:basedOn w:val="DefaultParagraphFont"/>
    <w:uiPriority w:val="32"/>
    <w:qFormat/>
    <w:rsid w:val="00276959"/>
    <w:rPr>
      <w:b/>
      <w:sz w:val="24"/>
      <w:u w:val="single"/>
    </w:rPr>
  </w:style>
  <w:style w:type="character" w:styleId="BookTitle">
    <w:name w:val="Book Title"/>
    <w:basedOn w:val="DefaultParagraphFont"/>
    <w:uiPriority w:val="33"/>
    <w:qFormat/>
    <w:rsid w:val="0027695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76959"/>
    <w:pPr>
      <w:outlineLvl w:val="9"/>
    </w:pPr>
  </w:style>
  <w:style w:type="paragraph" w:styleId="Header">
    <w:name w:val="header"/>
    <w:basedOn w:val="Normal"/>
    <w:link w:val="HeaderChar"/>
    <w:uiPriority w:val="99"/>
    <w:unhideWhenUsed/>
    <w:rsid w:val="008A102B"/>
    <w:pPr>
      <w:tabs>
        <w:tab w:val="center" w:pos="4680"/>
        <w:tab w:val="right" w:pos="9360"/>
      </w:tabs>
    </w:pPr>
  </w:style>
  <w:style w:type="character" w:customStyle="1" w:styleId="HeaderChar">
    <w:name w:val="Header Char"/>
    <w:basedOn w:val="DefaultParagraphFont"/>
    <w:link w:val="Header"/>
    <w:uiPriority w:val="99"/>
    <w:rsid w:val="008A102B"/>
  </w:style>
  <w:style w:type="paragraph" w:styleId="Footer">
    <w:name w:val="footer"/>
    <w:basedOn w:val="Normal"/>
    <w:link w:val="FooterChar"/>
    <w:uiPriority w:val="99"/>
    <w:unhideWhenUsed/>
    <w:rsid w:val="008A102B"/>
    <w:pPr>
      <w:tabs>
        <w:tab w:val="center" w:pos="4680"/>
        <w:tab w:val="right" w:pos="9360"/>
      </w:tabs>
    </w:pPr>
  </w:style>
  <w:style w:type="character" w:customStyle="1" w:styleId="FooterChar">
    <w:name w:val="Footer Char"/>
    <w:basedOn w:val="DefaultParagraphFont"/>
    <w:link w:val="Footer"/>
    <w:uiPriority w:val="99"/>
    <w:rsid w:val="008A102B"/>
  </w:style>
  <w:style w:type="paragraph" w:styleId="BalloonText">
    <w:name w:val="Balloon Text"/>
    <w:basedOn w:val="Normal"/>
    <w:link w:val="BalloonTextChar"/>
    <w:uiPriority w:val="99"/>
    <w:semiHidden/>
    <w:unhideWhenUsed/>
    <w:rsid w:val="001B097B"/>
    <w:rPr>
      <w:rFonts w:ascii="Tahoma" w:hAnsi="Tahoma" w:cs="Tahoma"/>
      <w:sz w:val="16"/>
      <w:szCs w:val="16"/>
    </w:rPr>
  </w:style>
  <w:style w:type="character" w:customStyle="1" w:styleId="BalloonTextChar">
    <w:name w:val="Balloon Text Char"/>
    <w:basedOn w:val="DefaultParagraphFont"/>
    <w:link w:val="BalloonText"/>
    <w:uiPriority w:val="99"/>
    <w:semiHidden/>
    <w:rsid w:val="001B09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header" Target="head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4843</Words>
  <Characters>25282</Characters>
  <Application>Microsoft Macintosh Word</Application>
  <DocSecurity>0</DocSecurity>
  <Lines>366</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30062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2012-03-22T10:24:00Z</cp:lastPrinted>
  <dcterms:created xsi:type="dcterms:W3CDTF">2012-04-11T01:58:00Z</dcterms:created>
  <dcterms:modified xsi:type="dcterms:W3CDTF">2012-06-02T12:47:00Z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b2571559-3ee1-4cb0-aa09-51fb52d8aa59</vt:lpwstr>
  </property>
  <property fmtid="{D5CDD505-2E9C-101B-9397-08002B2CF9AE}" pid="3" name="DocumentToolsEventId">
    <vt:lpwstr>0876d9d3-3628-48b8-a6c3-d64fc2a2b797</vt:lpwstr>
  </property>
</Properties>
</file>